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45" w:rsidRPr="00560D3E" w:rsidRDefault="00C91245" w:rsidP="00042867">
      <w:pPr>
        <w:jc w:val="center"/>
      </w:pPr>
      <w:bookmarkStart w:id="0" w:name="_GoBack"/>
      <w:bookmarkEnd w:id="0"/>
    </w:p>
    <w:p w:rsidR="00C91245" w:rsidRPr="00560D3E" w:rsidRDefault="00C91245" w:rsidP="00042867">
      <w:pPr>
        <w:jc w:val="center"/>
      </w:pPr>
    </w:p>
    <w:p w:rsidR="00F71A6A" w:rsidRPr="00555409" w:rsidRDefault="00F71A6A" w:rsidP="00042867">
      <w:pPr>
        <w:jc w:val="center"/>
      </w:pPr>
    </w:p>
    <w:p w:rsidR="00F71A6A" w:rsidRPr="00555409" w:rsidRDefault="00555409" w:rsidP="00042867">
      <w:pPr>
        <w:jc w:val="center"/>
      </w:pPr>
      <w:r w:rsidRPr="00555409">
        <w:t>FOURTH SECTION</w:t>
      </w:r>
    </w:p>
    <w:p w:rsidR="00F71A6A" w:rsidRDefault="00F71A6A" w:rsidP="00042867">
      <w:pPr>
        <w:jc w:val="center"/>
      </w:pPr>
    </w:p>
    <w:p w:rsidR="00C91245" w:rsidRDefault="00C91245" w:rsidP="00042867">
      <w:pPr>
        <w:jc w:val="center"/>
      </w:pPr>
    </w:p>
    <w:p w:rsidR="00C91245" w:rsidRDefault="00C91245" w:rsidP="00042867">
      <w:pPr>
        <w:jc w:val="center"/>
      </w:pPr>
    </w:p>
    <w:p w:rsidR="00560D3E" w:rsidRDefault="00560D3E" w:rsidP="00042867">
      <w:pPr>
        <w:jc w:val="center"/>
      </w:pPr>
    </w:p>
    <w:p w:rsidR="00C91245" w:rsidRDefault="00C91245" w:rsidP="00042867">
      <w:pPr>
        <w:jc w:val="center"/>
      </w:pPr>
    </w:p>
    <w:p w:rsidR="00C91245" w:rsidRDefault="00C91245" w:rsidP="00042867">
      <w:pPr>
        <w:jc w:val="center"/>
      </w:pPr>
    </w:p>
    <w:p w:rsidR="00560D3E" w:rsidRDefault="00560D3E" w:rsidP="00042867">
      <w:pPr>
        <w:jc w:val="center"/>
      </w:pPr>
    </w:p>
    <w:p w:rsidR="00C91245" w:rsidRPr="00555409" w:rsidRDefault="00C91245" w:rsidP="00042867">
      <w:pPr>
        <w:jc w:val="center"/>
      </w:pPr>
    </w:p>
    <w:p w:rsidR="00F71A6A" w:rsidRPr="00555409" w:rsidRDefault="00F71A6A" w:rsidP="00042867">
      <w:pPr>
        <w:jc w:val="center"/>
        <w:rPr>
          <w:b/>
        </w:rPr>
      </w:pPr>
      <w:bookmarkStart w:id="1" w:name="To"/>
      <w:r w:rsidRPr="00555409">
        <w:rPr>
          <w:b/>
        </w:rPr>
        <w:t xml:space="preserve">CASE OF </w:t>
      </w:r>
      <w:bookmarkEnd w:id="1"/>
      <w:r w:rsidR="00555409" w:rsidRPr="00555409">
        <w:rPr>
          <w:b/>
        </w:rPr>
        <w:t>IBRAHIM</w:t>
      </w:r>
      <w:r w:rsidR="00555409">
        <w:rPr>
          <w:b/>
        </w:rPr>
        <w:t xml:space="preserve"> AND OTHERS</w:t>
      </w:r>
      <w:r w:rsidR="00555409" w:rsidRPr="00555409">
        <w:rPr>
          <w:b/>
        </w:rPr>
        <w:t xml:space="preserve"> v. THE UNITED KINGDOM</w:t>
      </w:r>
    </w:p>
    <w:p w:rsidR="00F71A6A" w:rsidRPr="00555409" w:rsidRDefault="00F71A6A" w:rsidP="00042867">
      <w:pPr>
        <w:jc w:val="center"/>
      </w:pPr>
    </w:p>
    <w:p w:rsidR="00F71A6A" w:rsidRPr="00555409" w:rsidRDefault="00F71A6A" w:rsidP="00042867">
      <w:pPr>
        <w:jc w:val="center"/>
        <w:rPr>
          <w:i/>
        </w:rPr>
      </w:pPr>
      <w:r w:rsidRPr="00555409">
        <w:rPr>
          <w:i/>
        </w:rPr>
        <w:t>(</w:t>
      </w:r>
      <w:r w:rsidR="00555409" w:rsidRPr="00555409">
        <w:rPr>
          <w:i/>
        </w:rPr>
        <w:t xml:space="preserve">Applications nos. </w:t>
      </w:r>
      <w:r w:rsidR="00147E34" w:rsidRPr="00147E34">
        <w:rPr>
          <w:i/>
        </w:rPr>
        <w:t>50541/08, 50571/08</w:t>
      </w:r>
      <w:r w:rsidR="00EC1713">
        <w:rPr>
          <w:i/>
        </w:rPr>
        <w:t>,</w:t>
      </w:r>
      <w:r w:rsidR="00147E34" w:rsidRPr="00147E34">
        <w:rPr>
          <w:i/>
        </w:rPr>
        <w:t xml:space="preserve"> 50573/08 and 40351/09</w:t>
      </w:r>
      <w:r w:rsidR="00147E34">
        <w:rPr>
          <w:i/>
        </w:rPr>
        <w:t>)</w:t>
      </w:r>
    </w:p>
    <w:p w:rsidR="00F71A6A" w:rsidRDefault="00F71A6A" w:rsidP="00042867">
      <w:pPr>
        <w:jc w:val="center"/>
      </w:pPr>
    </w:p>
    <w:p w:rsidR="00F71A6A" w:rsidRPr="00555409" w:rsidRDefault="00F71A6A" w:rsidP="00042867">
      <w:pPr>
        <w:jc w:val="center"/>
      </w:pPr>
    </w:p>
    <w:p w:rsidR="00F71A6A" w:rsidRPr="00555409" w:rsidRDefault="00F71A6A" w:rsidP="00042867">
      <w:pPr>
        <w:jc w:val="center"/>
      </w:pPr>
    </w:p>
    <w:p w:rsidR="00F71A6A" w:rsidRPr="00555409" w:rsidRDefault="00F71A6A" w:rsidP="00042867">
      <w:pPr>
        <w:jc w:val="center"/>
      </w:pPr>
    </w:p>
    <w:p w:rsidR="00F71A6A" w:rsidRPr="00555409" w:rsidRDefault="00F71A6A" w:rsidP="00042867">
      <w:pPr>
        <w:jc w:val="center"/>
      </w:pPr>
    </w:p>
    <w:p w:rsidR="00F71A6A" w:rsidRPr="00555409" w:rsidRDefault="00F71A6A" w:rsidP="00042867">
      <w:pPr>
        <w:jc w:val="center"/>
      </w:pPr>
    </w:p>
    <w:p w:rsidR="00271A81" w:rsidRPr="00C91245" w:rsidRDefault="00C91245" w:rsidP="00C91245">
      <w:pPr>
        <w:jc w:val="center"/>
        <w:rPr>
          <w:szCs w:val="24"/>
        </w:rPr>
      </w:pPr>
      <w:r>
        <w:rPr>
          <w:szCs w:val="24"/>
        </w:rPr>
        <w:t>JUDGMENT</w:t>
      </w:r>
    </w:p>
    <w:p w:rsidR="00C91245" w:rsidRDefault="00C91245" w:rsidP="00B34516">
      <w:pPr>
        <w:jc w:val="center"/>
        <w:rPr>
          <w:szCs w:val="24"/>
        </w:rPr>
      </w:pPr>
    </w:p>
    <w:p w:rsidR="00C91245" w:rsidRDefault="00C91245" w:rsidP="00B34516">
      <w:pPr>
        <w:jc w:val="center"/>
        <w:rPr>
          <w:szCs w:val="24"/>
        </w:rPr>
      </w:pPr>
    </w:p>
    <w:p w:rsidR="00C91245" w:rsidRDefault="00C91245" w:rsidP="00B34516">
      <w:pPr>
        <w:jc w:val="center"/>
        <w:rPr>
          <w:szCs w:val="24"/>
        </w:rPr>
      </w:pPr>
      <w:r>
        <w:rPr>
          <w:szCs w:val="24"/>
        </w:rPr>
        <w:t>STRASBOURG</w:t>
      </w:r>
    </w:p>
    <w:p w:rsidR="00C91245" w:rsidRDefault="00C91245" w:rsidP="00B34516">
      <w:pPr>
        <w:jc w:val="center"/>
        <w:rPr>
          <w:szCs w:val="24"/>
        </w:rPr>
      </w:pPr>
    </w:p>
    <w:p w:rsidR="00C91245" w:rsidRDefault="00C91245" w:rsidP="00B34516">
      <w:pPr>
        <w:jc w:val="center"/>
        <w:rPr>
          <w:szCs w:val="24"/>
        </w:rPr>
      </w:pPr>
      <w:r>
        <w:rPr>
          <w:szCs w:val="24"/>
        </w:rPr>
        <w:t>16 December 2014</w:t>
      </w:r>
    </w:p>
    <w:p w:rsidR="00C91245" w:rsidRDefault="00C91245" w:rsidP="00B34516">
      <w:pPr>
        <w:jc w:val="center"/>
        <w:rPr>
          <w:szCs w:val="24"/>
        </w:rPr>
      </w:pPr>
    </w:p>
    <w:p w:rsidR="00B34516" w:rsidRDefault="00B34516" w:rsidP="00B34516">
      <w:pPr>
        <w:jc w:val="center"/>
        <w:rPr>
          <w:szCs w:val="24"/>
        </w:rPr>
      </w:pPr>
    </w:p>
    <w:p w:rsidR="00B34516" w:rsidRDefault="00B34516" w:rsidP="00B34516">
      <w:pPr>
        <w:jc w:val="center"/>
        <w:rPr>
          <w:szCs w:val="24"/>
        </w:rPr>
      </w:pPr>
    </w:p>
    <w:p w:rsidR="005E7B7A" w:rsidRDefault="005E7B7A" w:rsidP="005E7B7A">
      <w:pPr>
        <w:jc w:val="center"/>
        <w:rPr>
          <w:color w:val="FF0000"/>
        </w:rPr>
      </w:pPr>
      <w:bookmarkStart w:id="2" w:name="OLE_LINK4"/>
      <w:bookmarkStart w:id="3" w:name="OLE_LINK5"/>
      <w:r>
        <w:rPr>
          <w:color w:val="FF0000"/>
        </w:rPr>
        <w:t>Referral to the Grand Chamber</w:t>
      </w:r>
    </w:p>
    <w:p w:rsidR="005E7B7A" w:rsidRDefault="005E7B7A" w:rsidP="005E7B7A">
      <w:pPr>
        <w:jc w:val="center"/>
        <w:rPr>
          <w:color w:val="FF0000"/>
        </w:rPr>
      </w:pPr>
    </w:p>
    <w:p w:rsidR="005E7B7A" w:rsidRDefault="005E7B7A" w:rsidP="005E7B7A">
      <w:pPr>
        <w:jc w:val="center"/>
        <w:rPr>
          <w:color w:val="FF0000"/>
        </w:rPr>
      </w:pPr>
      <w:r>
        <w:rPr>
          <w:color w:val="FF0000"/>
        </w:rPr>
        <w:t>01/06/2015</w:t>
      </w:r>
    </w:p>
    <w:bookmarkEnd w:id="2"/>
    <w:bookmarkEnd w:id="3"/>
    <w:p w:rsidR="00B34516" w:rsidRDefault="00B34516" w:rsidP="00B34516">
      <w:pPr>
        <w:jc w:val="center"/>
        <w:rPr>
          <w:szCs w:val="24"/>
        </w:rPr>
      </w:pPr>
    </w:p>
    <w:p w:rsidR="00B34516" w:rsidRDefault="00B34516" w:rsidP="00B34516">
      <w:pPr>
        <w:jc w:val="center"/>
        <w:rPr>
          <w:szCs w:val="24"/>
        </w:rPr>
      </w:pPr>
    </w:p>
    <w:p w:rsidR="00C91245" w:rsidRDefault="00C91245" w:rsidP="00B34516">
      <w:pPr>
        <w:jc w:val="center"/>
        <w:rPr>
          <w:szCs w:val="24"/>
        </w:rPr>
      </w:pPr>
    </w:p>
    <w:p w:rsidR="00453CED" w:rsidRDefault="00C91245" w:rsidP="00B34516">
      <w:pPr>
        <w:jc w:val="both"/>
      </w:pPr>
      <w:r>
        <w:rPr>
          <w:i/>
          <w:sz w:val="22"/>
          <w:szCs w:val="24"/>
        </w:rPr>
        <w:t>This judgment will become final in the circumstances set out in Article 44 § 2 of the Convention. It may be subject to editorial revision.</w:t>
      </w:r>
    </w:p>
    <w:p w:rsidR="00C91245" w:rsidRDefault="00C91245" w:rsidP="00453CED">
      <w:pPr>
        <w:ind w:left="284"/>
      </w:pPr>
    </w:p>
    <w:p w:rsidR="00560D3E" w:rsidRDefault="00560D3E" w:rsidP="00453CED">
      <w:pPr>
        <w:ind w:left="284"/>
        <w:sectPr w:rsidR="00560D3E" w:rsidSect="00C91245">
          <w:headerReference w:type="default" r:id="rId12"/>
          <w:headerReference w:type="first" r:id="rId13"/>
          <w:footerReference w:type="first" r:id="rId14"/>
          <w:footnotePr>
            <w:numRestart w:val="eachPage"/>
          </w:footnotePr>
          <w:pgSz w:w="11906" w:h="16838" w:code="9"/>
          <w:pgMar w:top="2274" w:right="2274" w:bottom="2274" w:left="2274" w:header="1701" w:footer="720" w:gutter="0"/>
          <w:pgNumType w:start="1"/>
          <w:cols w:space="720"/>
          <w:titlePg/>
          <w:docGrid w:linePitch="326"/>
        </w:sectPr>
      </w:pPr>
    </w:p>
    <w:p w:rsidR="00B030BE" w:rsidRPr="008A326C" w:rsidRDefault="00F71A6A" w:rsidP="00453CED">
      <w:pPr>
        <w:ind w:left="284"/>
      </w:pPr>
      <w:r w:rsidRPr="00453CED">
        <w:rPr>
          <w:b/>
        </w:rPr>
        <w:lastRenderedPageBreak/>
        <w:t>In the case of</w:t>
      </w:r>
      <w:r w:rsidR="00B030BE" w:rsidRPr="00453CED">
        <w:rPr>
          <w:b/>
        </w:rPr>
        <w:t xml:space="preserve"> </w:t>
      </w:r>
      <w:r w:rsidR="00555409" w:rsidRPr="00453CED">
        <w:rPr>
          <w:b/>
        </w:rPr>
        <w:t>Ibrahim</w:t>
      </w:r>
      <w:r w:rsidR="00A85AA7">
        <w:rPr>
          <w:b/>
        </w:rPr>
        <w:t xml:space="preserve"> and Others</w:t>
      </w:r>
      <w:r w:rsidR="00555409" w:rsidRPr="00453CED">
        <w:rPr>
          <w:b/>
        </w:rPr>
        <w:t xml:space="preserve"> v. the United Kingdom</w:t>
      </w:r>
      <w:r w:rsidR="00B030BE" w:rsidRPr="00453CED">
        <w:rPr>
          <w:b/>
        </w:rPr>
        <w:t>,</w:t>
      </w:r>
    </w:p>
    <w:p w:rsidR="00730433" w:rsidRPr="00555409" w:rsidRDefault="00F71A6A" w:rsidP="00B030BE">
      <w:pPr>
        <w:pStyle w:val="JuCase"/>
        <w:rPr>
          <w:b w:val="0"/>
          <w:bCs/>
          <w:szCs w:val="24"/>
        </w:rPr>
      </w:pPr>
      <w:r w:rsidRPr="00555409">
        <w:rPr>
          <w:b w:val="0"/>
          <w:bCs/>
          <w:szCs w:val="24"/>
        </w:rPr>
        <w:t>The European Court of Human Rights (</w:t>
      </w:r>
      <w:r w:rsidR="00555409" w:rsidRPr="00555409">
        <w:rPr>
          <w:b w:val="0"/>
          <w:bCs/>
          <w:szCs w:val="24"/>
        </w:rPr>
        <w:t>Fourth Section</w:t>
      </w:r>
      <w:r w:rsidRPr="00555409">
        <w:rPr>
          <w:b w:val="0"/>
          <w:bCs/>
          <w:szCs w:val="24"/>
        </w:rPr>
        <w:t xml:space="preserve">), sitting as a </w:t>
      </w:r>
      <w:r w:rsidR="00555409" w:rsidRPr="00555409">
        <w:rPr>
          <w:b w:val="0"/>
          <w:bCs/>
          <w:szCs w:val="24"/>
        </w:rPr>
        <w:t>Chamber</w:t>
      </w:r>
      <w:r w:rsidR="00730433" w:rsidRPr="00555409">
        <w:rPr>
          <w:b w:val="0"/>
          <w:bCs/>
          <w:szCs w:val="24"/>
        </w:rPr>
        <w:t xml:space="preserve"> composed of:</w:t>
      </w:r>
    </w:p>
    <w:p w:rsidR="00F71A6A" w:rsidRPr="00EA0EFA" w:rsidRDefault="00C91245" w:rsidP="008824B9">
      <w:pPr>
        <w:pStyle w:val="ECHRDecisionBody"/>
      </w:pPr>
      <w:r w:rsidRPr="00C91245">
        <w:tab/>
        <w:t>Ineta</w:t>
      </w:r>
      <w:r>
        <w:t xml:space="preserve"> </w:t>
      </w:r>
      <w:r w:rsidRPr="00C91245">
        <w:t>Ziemele</w:t>
      </w:r>
      <w:r>
        <w:t>,</w:t>
      </w:r>
      <w:r w:rsidRPr="00C91245">
        <w:rPr>
          <w:i/>
        </w:rPr>
        <w:t xml:space="preserve"> President,</w:t>
      </w:r>
      <w:r>
        <w:rPr>
          <w:i/>
        </w:rPr>
        <w:br/>
      </w:r>
      <w:r w:rsidRPr="00C91245">
        <w:tab/>
        <w:t>Päivi</w:t>
      </w:r>
      <w:r>
        <w:t xml:space="preserve"> </w:t>
      </w:r>
      <w:r w:rsidRPr="00C91245">
        <w:t>Hirvelä</w:t>
      </w:r>
      <w:r>
        <w:t>,</w:t>
      </w:r>
      <w:r>
        <w:rPr>
          <w:i/>
        </w:rPr>
        <w:br/>
      </w:r>
      <w:r w:rsidRPr="00C91245">
        <w:tab/>
        <w:t>George</w:t>
      </w:r>
      <w:r>
        <w:t xml:space="preserve"> </w:t>
      </w:r>
      <w:r w:rsidRPr="00C91245">
        <w:t>Nicolaou</w:t>
      </w:r>
      <w:r>
        <w:t>,</w:t>
      </w:r>
      <w:r>
        <w:rPr>
          <w:i/>
        </w:rPr>
        <w:br/>
      </w:r>
      <w:r w:rsidRPr="00C91245">
        <w:tab/>
        <w:t>Ledi</w:t>
      </w:r>
      <w:r>
        <w:t xml:space="preserve"> </w:t>
      </w:r>
      <w:r w:rsidRPr="00C91245">
        <w:t>Bianku</w:t>
      </w:r>
      <w:r>
        <w:t>,</w:t>
      </w:r>
      <w:r>
        <w:rPr>
          <w:i/>
        </w:rPr>
        <w:br/>
      </w:r>
      <w:r w:rsidRPr="00C91245">
        <w:tab/>
        <w:t>Zdravka</w:t>
      </w:r>
      <w:r>
        <w:t xml:space="preserve"> </w:t>
      </w:r>
      <w:r w:rsidRPr="00C91245">
        <w:t>Kalaydjieva</w:t>
      </w:r>
      <w:r>
        <w:t>,</w:t>
      </w:r>
      <w:r>
        <w:rPr>
          <w:i/>
        </w:rPr>
        <w:br/>
      </w:r>
      <w:r w:rsidRPr="00C91245">
        <w:tab/>
        <w:t>Paul</w:t>
      </w:r>
      <w:r>
        <w:t xml:space="preserve"> </w:t>
      </w:r>
      <w:r w:rsidRPr="00C91245">
        <w:t>Mahoney</w:t>
      </w:r>
      <w:r>
        <w:t>,</w:t>
      </w:r>
      <w:r>
        <w:rPr>
          <w:i/>
        </w:rPr>
        <w:br/>
      </w:r>
      <w:r w:rsidRPr="00C91245">
        <w:tab/>
        <w:t>Krzysztof</w:t>
      </w:r>
      <w:r>
        <w:t xml:space="preserve"> </w:t>
      </w:r>
      <w:r w:rsidRPr="00C91245">
        <w:t>Wojtyczek</w:t>
      </w:r>
      <w:r>
        <w:t>,</w:t>
      </w:r>
      <w:r w:rsidRPr="00C91245">
        <w:rPr>
          <w:i/>
        </w:rPr>
        <w:t xml:space="preserve"> judges,</w:t>
      </w:r>
      <w:r w:rsidR="00337600" w:rsidRPr="00EA0EFA">
        <w:rPr>
          <w:szCs w:val="24"/>
        </w:rPr>
        <w:br/>
      </w:r>
      <w:r w:rsidR="00F71A6A" w:rsidRPr="00EA0EFA">
        <w:t>and</w:t>
      </w:r>
      <w:r w:rsidR="000726F6" w:rsidRPr="00EA0EFA">
        <w:t xml:space="preserve"> </w:t>
      </w:r>
      <w:r w:rsidR="00555409" w:rsidRPr="00EA0EFA">
        <w:t>Françoise Elens-Passos</w:t>
      </w:r>
      <w:r w:rsidR="009D4B87" w:rsidRPr="00EA0EFA">
        <w:rPr>
          <w:rStyle w:val="JuJudgesChar"/>
        </w:rPr>
        <w:t xml:space="preserve">, </w:t>
      </w:r>
      <w:r w:rsidR="00555409" w:rsidRPr="00EA0EFA">
        <w:rPr>
          <w:i/>
        </w:rPr>
        <w:t xml:space="preserve">Section </w:t>
      </w:r>
      <w:r w:rsidR="00555409" w:rsidRPr="00EA0EFA">
        <w:rPr>
          <w:i/>
          <w:iCs/>
        </w:rPr>
        <w:t>Registrar</w:t>
      </w:r>
      <w:r w:rsidR="00F71A6A" w:rsidRPr="00EA0EFA">
        <w:rPr>
          <w:i/>
        </w:rPr>
        <w:t>,</w:t>
      </w:r>
    </w:p>
    <w:p w:rsidR="00F71A6A" w:rsidRPr="00555409" w:rsidRDefault="00F71A6A" w:rsidP="002F4BCF">
      <w:pPr>
        <w:pStyle w:val="JuPara"/>
      </w:pPr>
      <w:r w:rsidRPr="00555409">
        <w:t xml:space="preserve">Having deliberated in private on </w:t>
      </w:r>
      <w:r w:rsidR="00C91245">
        <w:t>13 November 2014</w:t>
      </w:r>
      <w:r w:rsidRPr="00555409">
        <w:t>,</w:t>
      </w:r>
    </w:p>
    <w:p w:rsidR="00F71A6A" w:rsidRPr="00555409" w:rsidRDefault="00F71A6A" w:rsidP="002F4BCF">
      <w:pPr>
        <w:pStyle w:val="JuPara"/>
      </w:pPr>
      <w:r w:rsidRPr="00555409">
        <w:t>Delivers the following judgment, which was adopted on that date:</w:t>
      </w:r>
    </w:p>
    <w:p w:rsidR="00F71A6A" w:rsidRPr="00555409" w:rsidRDefault="00F71A6A" w:rsidP="008824B9">
      <w:pPr>
        <w:pStyle w:val="ECHRTitle1"/>
      </w:pPr>
      <w:r w:rsidRPr="00555409">
        <w:t>PROCEDURE</w:t>
      </w:r>
    </w:p>
    <w:p w:rsidR="00491FF5" w:rsidRDefault="00555E80" w:rsidP="00893782">
      <w:pPr>
        <w:pStyle w:val="JuPara"/>
      </w:pPr>
      <w:r>
        <w:fldChar w:fldCharType="begin"/>
      </w:r>
      <w:r>
        <w:instrText xml:space="preserve"> SEQ level0 \*arabic </w:instrText>
      </w:r>
      <w:r>
        <w:fldChar w:fldCharType="separate"/>
      </w:r>
      <w:r w:rsidR="00517F95">
        <w:rPr>
          <w:noProof/>
        </w:rPr>
        <w:t>1</w:t>
      </w:r>
      <w:r>
        <w:rPr>
          <w:noProof/>
        </w:rPr>
        <w:fldChar w:fldCharType="end"/>
      </w:r>
      <w:r w:rsidR="002F4964">
        <w:t>.  </w:t>
      </w:r>
      <w:r w:rsidR="00F71A6A" w:rsidRPr="00555409">
        <w:t xml:space="preserve">The case originated in </w:t>
      </w:r>
      <w:r w:rsidR="00555409">
        <w:t xml:space="preserve">four </w:t>
      </w:r>
      <w:r w:rsidR="00555409" w:rsidRPr="00555409">
        <w:t>applications (nos. 50541/08, 50571/08</w:t>
      </w:r>
      <w:r w:rsidR="007E3E27">
        <w:t>,</w:t>
      </w:r>
      <w:r w:rsidR="00555409" w:rsidRPr="00555409">
        <w:t xml:space="preserve"> 50573/08</w:t>
      </w:r>
      <w:r w:rsidR="00555409">
        <w:t xml:space="preserve"> </w:t>
      </w:r>
      <w:r w:rsidR="00555409" w:rsidRPr="00555409">
        <w:t xml:space="preserve">and </w:t>
      </w:r>
      <w:r w:rsidR="00555409">
        <w:t>40351/09</w:t>
      </w:r>
      <w:r w:rsidR="00555409" w:rsidRPr="00555409">
        <w:t>)</w:t>
      </w:r>
      <w:r w:rsidR="00F71A6A" w:rsidRPr="00555409">
        <w:t xml:space="preserve"> against </w:t>
      </w:r>
      <w:r w:rsidR="00555409" w:rsidRPr="00555409">
        <w:t>the United Kingdom of Great Britain and Northern Ireland</w:t>
      </w:r>
      <w:r w:rsidR="00F71A6A" w:rsidRPr="00555409">
        <w:t xml:space="preserve"> lodged with the </w:t>
      </w:r>
      <w:r w:rsidR="00555409" w:rsidRPr="00555409">
        <w:t>Court under Article 34</w:t>
      </w:r>
      <w:r w:rsidR="004920B1" w:rsidRPr="00555409">
        <w:t xml:space="preserve"> of the Convention for the Protection of Human Rights and Fundamental Freedoms (“the Convention”)</w:t>
      </w:r>
      <w:r w:rsidR="00555409">
        <w:t>.</w:t>
      </w:r>
    </w:p>
    <w:p w:rsidR="00491FF5" w:rsidRDefault="00555E80" w:rsidP="00893782">
      <w:pPr>
        <w:pStyle w:val="JuPara"/>
      </w:pPr>
      <w:r>
        <w:fldChar w:fldCharType="begin"/>
      </w:r>
      <w:r>
        <w:instrText xml:space="preserve"> SEQ level0 \*arabic </w:instrText>
      </w:r>
      <w:r>
        <w:fldChar w:fldCharType="separate"/>
      </w:r>
      <w:r w:rsidR="00517F95">
        <w:rPr>
          <w:noProof/>
        </w:rPr>
        <w:t>2</w:t>
      </w:r>
      <w:r>
        <w:rPr>
          <w:noProof/>
        </w:rPr>
        <w:fldChar w:fldCharType="end"/>
      </w:r>
      <w:r w:rsidR="00491FF5">
        <w:t>.</w:t>
      </w:r>
      <w:r w:rsidR="00661205">
        <w:t>  </w:t>
      </w:r>
      <w:r w:rsidR="00491FF5">
        <w:t>The first three applications were lodged by Mr</w:t>
      </w:r>
      <w:r w:rsidR="00555409" w:rsidRPr="00555409">
        <w:t xml:space="preserve"> Muktar Said Ibrahim</w:t>
      </w:r>
      <w:r w:rsidR="00491FF5">
        <w:t xml:space="preserve">, Mr Ramzi </w:t>
      </w:r>
      <w:r w:rsidR="00491FF5" w:rsidRPr="00491FF5">
        <w:t>Mohammed</w:t>
      </w:r>
      <w:r w:rsidR="00491FF5">
        <w:t xml:space="preserve"> and Mr Yassin Omar on 22 October 2008.</w:t>
      </w:r>
      <w:r w:rsidR="00BB1775">
        <w:t xml:space="preserve"> </w:t>
      </w:r>
      <w:r w:rsidR="00491FF5">
        <w:t xml:space="preserve">They are Somali nationals who were born in </w:t>
      </w:r>
      <w:r w:rsidR="00EC1713">
        <w:t>1978</w:t>
      </w:r>
      <w:r w:rsidR="00491FF5">
        <w:t xml:space="preserve">, </w:t>
      </w:r>
      <w:r w:rsidR="00EC1713">
        <w:t>1981</w:t>
      </w:r>
      <w:r w:rsidR="00491FF5">
        <w:t xml:space="preserve">, and </w:t>
      </w:r>
      <w:r w:rsidR="00EC1713">
        <w:t>1981</w:t>
      </w:r>
      <w:r w:rsidR="00491FF5">
        <w:t xml:space="preserve"> respectively.</w:t>
      </w:r>
      <w:r w:rsidR="00BB1775">
        <w:t xml:space="preserve"> </w:t>
      </w:r>
      <w:r w:rsidR="00491FF5">
        <w:t xml:space="preserve">The fourth application was lodged on </w:t>
      </w:r>
      <w:r w:rsidR="00491FF5" w:rsidRPr="00491FF5">
        <w:t xml:space="preserve">29 July 2009 </w:t>
      </w:r>
      <w:r w:rsidR="00491FF5">
        <w:t xml:space="preserve">by </w:t>
      </w:r>
      <w:r w:rsidR="00491FF5" w:rsidRPr="00491FF5">
        <w:t xml:space="preserve">Mr Ismail Abdurahman, </w:t>
      </w:r>
      <w:r w:rsidR="00D6159C">
        <w:t xml:space="preserve">a </w:t>
      </w:r>
      <w:r w:rsidR="00491FF5" w:rsidRPr="00491FF5">
        <w:t>British national who was born in Somalia in 1982.</w:t>
      </w:r>
    </w:p>
    <w:p w:rsidR="00A37C67" w:rsidRDefault="00555E80" w:rsidP="002F4BCF">
      <w:pPr>
        <w:pStyle w:val="JuPara"/>
      </w:pPr>
      <w:r>
        <w:fldChar w:fldCharType="begin"/>
      </w:r>
      <w:r>
        <w:instrText xml:space="preserve"> SEQ level0 \*arabic </w:instrText>
      </w:r>
      <w:r>
        <w:fldChar w:fldCharType="separate"/>
      </w:r>
      <w:r w:rsidR="00517F95">
        <w:rPr>
          <w:noProof/>
        </w:rPr>
        <w:t>3</w:t>
      </w:r>
      <w:r>
        <w:rPr>
          <w:noProof/>
        </w:rPr>
        <w:fldChar w:fldCharType="end"/>
      </w:r>
      <w:r w:rsidR="00F71A6A" w:rsidRPr="00555409">
        <w:t>.</w:t>
      </w:r>
      <w:r w:rsidR="00661205">
        <w:t>  </w:t>
      </w:r>
      <w:r w:rsidR="00491FF5">
        <w:t>The applicants</w:t>
      </w:r>
      <w:r w:rsidR="00555409" w:rsidRPr="00555409">
        <w:t xml:space="preserve"> were represented </w:t>
      </w:r>
      <w:r w:rsidR="00491FF5">
        <w:t>as follows</w:t>
      </w:r>
      <w:r w:rsidR="00105EC2">
        <w:t>:</w:t>
      </w:r>
    </w:p>
    <w:p w:rsidR="00A37C67" w:rsidRDefault="00105EC2" w:rsidP="002F4BCF">
      <w:pPr>
        <w:pStyle w:val="JuPara"/>
      </w:pPr>
      <w:r>
        <w:t xml:space="preserve">- </w:t>
      </w:r>
      <w:r w:rsidR="00491FF5">
        <w:t xml:space="preserve">Mr Ibrahim </w:t>
      </w:r>
      <w:r>
        <w:t>and Mr Mohammed were</w:t>
      </w:r>
      <w:r w:rsidR="00491FF5">
        <w:t xml:space="preserve"> represented by </w:t>
      </w:r>
      <w:r w:rsidR="00491FF5" w:rsidRPr="00491FF5">
        <w:t>Irvine Thanvi Natas, a firm of solicitors based in London</w:t>
      </w:r>
      <w:r w:rsidR="00D6159C">
        <w:t>, assisted by Mr J. Bennathan </w:t>
      </w:r>
      <w:r w:rsidR="00A37C67">
        <w:t>QC, counsel</w:t>
      </w:r>
      <w:r w:rsidR="00491FF5">
        <w:t>.</w:t>
      </w:r>
    </w:p>
    <w:p w:rsidR="00105EC2" w:rsidRDefault="00105EC2" w:rsidP="002F4BCF">
      <w:pPr>
        <w:pStyle w:val="JuPara"/>
      </w:pPr>
      <w:r>
        <w:t xml:space="preserve">- Mr Omar was represented by Ms Muddassar Arani, a lawyer practising in </w:t>
      </w:r>
      <w:r w:rsidR="00AC2161">
        <w:t>Middlesex with Arani Solicitors, assisted by Mr S. Vullo, counsel.</w:t>
      </w:r>
    </w:p>
    <w:p w:rsidR="00105EC2" w:rsidRDefault="00105EC2" w:rsidP="002F4BCF">
      <w:pPr>
        <w:pStyle w:val="JuPara"/>
      </w:pPr>
      <w:r>
        <w:t xml:space="preserve">- Mr Abdurahman was represented by </w:t>
      </w:r>
      <w:r w:rsidRPr="00105EC2">
        <w:t>Mr J. King and Ms A. Faul, counsel.</w:t>
      </w:r>
    </w:p>
    <w:p w:rsidR="00555409" w:rsidRPr="00555409" w:rsidRDefault="00555E80" w:rsidP="002F4BCF">
      <w:pPr>
        <w:pStyle w:val="JuPara"/>
      </w:pPr>
      <w:r>
        <w:fldChar w:fldCharType="begin"/>
      </w:r>
      <w:r>
        <w:instrText xml:space="preserve"> SEQ level0 \*arabic </w:instrText>
      </w:r>
      <w:r>
        <w:fldChar w:fldCharType="separate"/>
      </w:r>
      <w:r w:rsidR="00517F95">
        <w:rPr>
          <w:noProof/>
        </w:rPr>
        <w:t>4</w:t>
      </w:r>
      <w:r>
        <w:rPr>
          <w:noProof/>
        </w:rPr>
        <w:fldChar w:fldCharType="end"/>
      </w:r>
      <w:r w:rsidR="00491FF5">
        <w:t>.</w:t>
      </w:r>
      <w:r w:rsidR="00661205">
        <w:t>  </w:t>
      </w:r>
      <w:r w:rsidR="00F71A6A" w:rsidRPr="00555409">
        <w:t xml:space="preserve">The </w:t>
      </w:r>
      <w:r w:rsidR="00555409" w:rsidRPr="00555409">
        <w:t>United Kingdom</w:t>
      </w:r>
      <w:r w:rsidR="00F71A6A" w:rsidRPr="00555409">
        <w:t xml:space="preserve"> Government (“the Government”) were represented by their Agent, M</w:t>
      </w:r>
      <w:r w:rsidR="00A37C67">
        <w:t>s</w:t>
      </w:r>
      <w:r w:rsidR="00F71A6A" w:rsidRPr="00555409">
        <w:t xml:space="preserve"> </w:t>
      </w:r>
      <w:r w:rsidR="00A37C67">
        <w:t>A</w:t>
      </w:r>
      <w:r w:rsidR="00F71A6A" w:rsidRPr="00555409">
        <w:t>.</w:t>
      </w:r>
      <w:r w:rsidR="00A37C67">
        <w:t xml:space="preserve"> Swampillai of the Foreign and Commonwealth Office.</w:t>
      </w:r>
    </w:p>
    <w:p w:rsidR="00F71A6A" w:rsidRPr="00555409" w:rsidRDefault="00555E80" w:rsidP="00865450">
      <w:pPr>
        <w:pStyle w:val="JuPara"/>
      </w:pPr>
      <w:r>
        <w:fldChar w:fldCharType="begin"/>
      </w:r>
      <w:r>
        <w:instrText xml:space="preserve"> SEQ level0 \*arabic </w:instrText>
      </w:r>
      <w:r>
        <w:fldChar w:fldCharType="separate"/>
      </w:r>
      <w:r w:rsidR="00517F95">
        <w:rPr>
          <w:noProof/>
        </w:rPr>
        <w:t>5</w:t>
      </w:r>
      <w:r>
        <w:rPr>
          <w:noProof/>
        </w:rPr>
        <w:fldChar w:fldCharType="end"/>
      </w:r>
      <w:r w:rsidR="00A37C67">
        <w:t>.</w:t>
      </w:r>
      <w:r w:rsidR="00661205">
        <w:t>  </w:t>
      </w:r>
      <w:r w:rsidR="00A37C67">
        <w:t>The applicants alleged</w:t>
      </w:r>
      <w:r w:rsidR="00555409" w:rsidRPr="00555409">
        <w:t xml:space="preserve"> </w:t>
      </w:r>
      <w:r w:rsidR="00BE108F">
        <w:t xml:space="preserve">a violation of Article 6 §§ 1 and 3 (c) in that </w:t>
      </w:r>
      <w:r w:rsidR="00555409">
        <w:t>they had been interviewed by the police without access to a lawyer and that the evidence obtained from those interview</w:t>
      </w:r>
      <w:r w:rsidR="00A37C67">
        <w:t>s</w:t>
      </w:r>
      <w:r w:rsidR="00555409">
        <w:t xml:space="preserve"> was used at their respective trials</w:t>
      </w:r>
      <w:r w:rsidR="00555409" w:rsidRPr="00555409">
        <w:t>.</w:t>
      </w:r>
    </w:p>
    <w:p w:rsidR="003D0BC4" w:rsidRDefault="00555E80" w:rsidP="00865450">
      <w:pPr>
        <w:pStyle w:val="JuPara"/>
      </w:pPr>
      <w:r>
        <w:lastRenderedPageBreak/>
        <w:fldChar w:fldCharType="begin"/>
      </w:r>
      <w:r>
        <w:instrText xml:space="preserve"> SEQ level0 \*arabic </w:instrText>
      </w:r>
      <w:r>
        <w:fldChar w:fldCharType="separate"/>
      </w:r>
      <w:r w:rsidR="00517F95">
        <w:rPr>
          <w:noProof/>
        </w:rPr>
        <w:t>6</w:t>
      </w:r>
      <w:r>
        <w:rPr>
          <w:noProof/>
        </w:rPr>
        <w:fldChar w:fldCharType="end"/>
      </w:r>
      <w:r w:rsidR="003D0BC4">
        <w:t>.</w:t>
      </w:r>
      <w:r w:rsidR="00661205">
        <w:t>  </w:t>
      </w:r>
      <w:r w:rsidR="003D0BC4">
        <w:t xml:space="preserve">On 14 September 2010 </w:t>
      </w:r>
      <w:r w:rsidR="003D0BC4" w:rsidRPr="003D0BC4">
        <w:t xml:space="preserve">the Court decided to give notice of the </w:t>
      </w:r>
      <w:r w:rsidR="003D0BC4">
        <w:t>fourth applicant</w:t>
      </w:r>
      <w:r w:rsidR="005E7B7A">
        <w:t>’</w:t>
      </w:r>
      <w:r w:rsidR="003D0BC4">
        <w:t xml:space="preserve">s </w:t>
      </w:r>
      <w:r w:rsidR="003D0BC4" w:rsidRPr="003D0BC4">
        <w:t>application to the Government. It also decided to rule on the admissibility and merits of the application at the same time (Article 29 § 1).</w:t>
      </w:r>
    </w:p>
    <w:p w:rsidR="007E603C" w:rsidRDefault="00555E80" w:rsidP="00865450">
      <w:pPr>
        <w:pStyle w:val="JuPara"/>
      </w:pPr>
      <w:r>
        <w:fldChar w:fldCharType="begin"/>
      </w:r>
      <w:r>
        <w:instrText xml:space="preserve"> SEQ level0 \*arabic </w:instrText>
      </w:r>
      <w:r>
        <w:fldChar w:fldCharType="separate"/>
      </w:r>
      <w:r w:rsidR="00517F95">
        <w:rPr>
          <w:noProof/>
        </w:rPr>
        <w:t>7</w:t>
      </w:r>
      <w:r>
        <w:rPr>
          <w:noProof/>
        </w:rPr>
        <w:fldChar w:fldCharType="end"/>
      </w:r>
      <w:r w:rsidR="00F71A6A" w:rsidRPr="00555409">
        <w:t>.</w:t>
      </w:r>
      <w:r w:rsidR="00661205">
        <w:t>  </w:t>
      </w:r>
      <w:r w:rsidR="00F71A6A" w:rsidRPr="00555409">
        <w:t xml:space="preserve">On </w:t>
      </w:r>
      <w:r w:rsidR="00555409" w:rsidRPr="00555409">
        <w:t>22 May 2012</w:t>
      </w:r>
      <w:r w:rsidR="000C1832">
        <w:t xml:space="preserve"> </w:t>
      </w:r>
      <w:r w:rsidR="0009409F" w:rsidRPr="00555409">
        <w:t xml:space="preserve">the </w:t>
      </w:r>
      <w:r w:rsidR="00555409" w:rsidRPr="00555409">
        <w:t>applications</w:t>
      </w:r>
      <w:r w:rsidR="00661205">
        <w:t xml:space="preserve"> lodged by Mr Ibrahim, Mr </w:t>
      </w:r>
      <w:r w:rsidR="00555409" w:rsidRPr="00397E31">
        <w:t>Mohammed</w:t>
      </w:r>
      <w:r w:rsidR="00555409">
        <w:t xml:space="preserve"> and Mr Omar</w:t>
      </w:r>
      <w:r w:rsidR="00555409" w:rsidRPr="00555409">
        <w:t xml:space="preserve"> were </w:t>
      </w:r>
      <w:r w:rsidR="000C5BF9">
        <w:t xml:space="preserve">joined and </w:t>
      </w:r>
      <w:r w:rsidR="00555409" w:rsidRPr="00555409">
        <w:t xml:space="preserve">declared partly inadmissible </w:t>
      </w:r>
      <w:r w:rsidR="003D0BC4">
        <w:t>by a Chamber of the Fourth Section of the Court</w:t>
      </w:r>
      <w:r w:rsidR="00EC1713">
        <w:t xml:space="preserve">. </w:t>
      </w:r>
      <w:r w:rsidR="00165ED8">
        <w:t>On</w:t>
      </w:r>
      <w:r w:rsidR="00EC1713">
        <w:t xml:space="preserve"> the same date, the Chamber decided to give notice of </w:t>
      </w:r>
      <w:r w:rsidR="00555409" w:rsidRPr="00555409">
        <w:t>the</w:t>
      </w:r>
      <w:r w:rsidR="00555409">
        <w:t>ir</w:t>
      </w:r>
      <w:r w:rsidR="00555409" w:rsidRPr="00555409">
        <w:t xml:space="preserve"> complaint</w:t>
      </w:r>
      <w:r w:rsidR="00555409">
        <w:t>s</w:t>
      </w:r>
      <w:r w:rsidR="00555409" w:rsidRPr="00555409">
        <w:t xml:space="preserve"> concerning </w:t>
      </w:r>
      <w:r w:rsidR="00555409">
        <w:t xml:space="preserve">their lack </w:t>
      </w:r>
      <w:r w:rsidR="00C333A7">
        <w:t xml:space="preserve">of </w:t>
      </w:r>
      <w:r w:rsidR="00555409" w:rsidRPr="00555409">
        <w:t>access to a lawyer and the a</w:t>
      </w:r>
      <w:r w:rsidR="00555409">
        <w:t xml:space="preserve">dmission of the evidence of their police </w:t>
      </w:r>
      <w:r w:rsidR="00555409" w:rsidRPr="00555409">
        <w:t xml:space="preserve">interviews </w:t>
      </w:r>
      <w:r w:rsidR="00555409">
        <w:t xml:space="preserve">at their trial </w:t>
      </w:r>
      <w:r w:rsidR="00F71A6A" w:rsidRPr="00555409">
        <w:t>to the</w:t>
      </w:r>
      <w:r w:rsidR="00EC1713">
        <w:t xml:space="preserve"> </w:t>
      </w:r>
      <w:r w:rsidR="00F71A6A" w:rsidRPr="00555409">
        <w:t>Gove</w:t>
      </w:r>
      <w:r w:rsidR="00485A6F" w:rsidRPr="00555409">
        <w:t>rnment.</w:t>
      </w:r>
      <w:r w:rsidR="00555409" w:rsidRPr="00555409">
        <w:t xml:space="preserve"> </w:t>
      </w:r>
      <w:r w:rsidR="003447F0">
        <w:t>The Chamber</w:t>
      </w:r>
      <w:r w:rsidR="00555409" w:rsidRPr="00555409">
        <w:t xml:space="preserve"> also decided to rule on the </w:t>
      </w:r>
      <w:r w:rsidR="00EC1713">
        <w:t xml:space="preserve">admissibility and merits of those complaints </w:t>
      </w:r>
      <w:r w:rsidR="007E3E27">
        <w:t>at the same time (Article 29 § </w:t>
      </w:r>
      <w:r w:rsidR="00555409" w:rsidRPr="00555409">
        <w:t>1).</w:t>
      </w:r>
    </w:p>
    <w:p w:rsidR="00F71A6A" w:rsidRPr="00555409" w:rsidRDefault="00F71A6A" w:rsidP="008824B9">
      <w:pPr>
        <w:pStyle w:val="ECHRTitle1"/>
      </w:pPr>
      <w:r w:rsidRPr="00555409">
        <w:t>THE FACTS</w:t>
      </w:r>
    </w:p>
    <w:p w:rsidR="00D353F4" w:rsidRPr="00555409" w:rsidRDefault="007352DD" w:rsidP="008824B9">
      <w:pPr>
        <w:pStyle w:val="ECHRHeading1"/>
      </w:pPr>
      <w:r w:rsidRPr="00555409">
        <w:t>I.</w:t>
      </w:r>
      <w:r w:rsidR="00661205">
        <w:t>  </w:t>
      </w:r>
      <w:r w:rsidRPr="00555409">
        <w:t xml:space="preserve">THE CIRCUMSTANCES OF THE </w:t>
      </w:r>
      <w:r w:rsidR="00D353F4" w:rsidRPr="00555409">
        <w:t>CASE</w:t>
      </w:r>
    </w:p>
    <w:p w:rsidR="007E2F61" w:rsidRDefault="0021484A" w:rsidP="0021484A">
      <w:pPr>
        <w:pStyle w:val="ECHRHeading2"/>
      </w:pPr>
      <w:r>
        <w:t>A</w:t>
      </w:r>
      <w:r w:rsidR="007E2F61">
        <w:t>.</w:t>
      </w:r>
      <w:r w:rsidR="00661205">
        <w:t>  </w:t>
      </w:r>
      <w:r w:rsidR="007E2F61">
        <w:t>Introduction</w:t>
      </w:r>
    </w:p>
    <w:p w:rsidR="007E2F61" w:rsidRDefault="00555E80" w:rsidP="007E2F61">
      <w:pPr>
        <w:pStyle w:val="JuPara"/>
      </w:pPr>
      <w:r>
        <w:fldChar w:fldCharType="begin"/>
      </w:r>
      <w:r>
        <w:instrText xml:space="preserve"> SEQ level0 \*arabic </w:instrText>
      </w:r>
      <w:r>
        <w:fldChar w:fldCharType="separate"/>
      </w:r>
      <w:r w:rsidR="00517F95">
        <w:rPr>
          <w:noProof/>
        </w:rPr>
        <w:t>8</w:t>
      </w:r>
      <w:r>
        <w:rPr>
          <w:noProof/>
        </w:rPr>
        <w:fldChar w:fldCharType="end"/>
      </w:r>
      <w:r w:rsidR="007E2F61">
        <w:t>.</w:t>
      </w:r>
      <w:r w:rsidR="00661205">
        <w:t>  </w:t>
      </w:r>
      <w:r w:rsidR="007E2F61">
        <w:t xml:space="preserve">On 7 July 2005, four suicide bombs exploded on three </w:t>
      </w:r>
      <w:r w:rsidR="0021484A">
        <w:t xml:space="preserve">underground </w:t>
      </w:r>
      <w:r w:rsidR="007E2F61">
        <w:t>trains and one bus in central London, killing fifty-</w:t>
      </w:r>
      <w:r w:rsidR="0021484A">
        <w:t>two</w:t>
      </w:r>
      <w:r w:rsidR="007E2F61">
        <w:t xml:space="preserve"> people</w:t>
      </w:r>
      <w:r w:rsidR="00E327D0">
        <w:t xml:space="preserve"> and injuring hundreds more</w:t>
      </w:r>
      <w:r w:rsidR="00A76EF3">
        <w:t>.</w:t>
      </w:r>
    </w:p>
    <w:bookmarkStart w:id="4" w:name="Introdefendants"/>
    <w:p w:rsidR="007E2F61" w:rsidRDefault="0082058A" w:rsidP="007E2F61">
      <w:pPr>
        <w:pStyle w:val="JuPara"/>
      </w:pPr>
      <w:r>
        <w:fldChar w:fldCharType="begin"/>
      </w:r>
      <w:r w:rsidR="00C04CCA">
        <w:instrText xml:space="preserve"> SEQ level0 \*arabic </w:instrText>
      </w:r>
      <w:r>
        <w:fldChar w:fldCharType="separate"/>
      </w:r>
      <w:r w:rsidR="00517F95">
        <w:rPr>
          <w:noProof/>
        </w:rPr>
        <w:t>9</w:t>
      </w:r>
      <w:r>
        <w:rPr>
          <w:noProof/>
        </w:rPr>
        <w:fldChar w:fldCharType="end"/>
      </w:r>
      <w:bookmarkEnd w:id="4"/>
      <w:r w:rsidR="007E2F61">
        <w:t>.</w:t>
      </w:r>
      <w:r w:rsidR="00661205">
        <w:t>  </w:t>
      </w:r>
      <w:r w:rsidR="007E2F61">
        <w:t>Two weeks later, on 21</w:t>
      </w:r>
      <w:r w:rsidR="00A76EF3">
        <w:t xml:space="preserve"> </w:t>
      </w:r>
      <w:r w:rsidR="007E2F61">
        <w:t>July 2005, the first three applican</w:t>
      </w:r>
      <w:r w:rsidR="00165ED8">
        <w:t>ts, Mr </w:t>
      </w:r>
      <w:r w:rsidR="007E2F61">
        <w:t>Ibrahim, Mr Mohammed</w:t>
      </w:r>
      <w:r w:rsidR="007E2F61" w:rsidRPr="007E2F61">
        <w:t xml:space="preserve"> </w:t>
      </w:r>
      <w:r w:rsidR="007E2F61">
        <w:t xml:space="preserve">and Mr Omar, and a fourth man, </w:t>
      </w:r>
      <w:r w:rsidR="00A76EF3">
        <w:t>Mr Hussain </w:t>
      </w:r>
      <w:r w:rsidR="007E2F61">
        <w:t>Osman, detonate</w:t>
      </w:r>
      <w:r w:rsidR="0017392B">
        <w:t>d</w:t>
      </w:r>
      <w:r w:rsidR="007E2F61">
        <w:t xml:space="preserve"> four bombs </w:t>
      </w:r>
      <w:r w:rsidR="00BC5C04">
        <w:t xml:space="preserve">contained in rucksacks </w:t>
      </w:r>
      <w:r w:rsidR="007E2F61">
        <w:t xml:space="preserve">at separate points on the London public transport system. </w:t>
      </w:r>
      <w:r w:rsidR="0017392B">
        <w:t>On 23 July 2005, a</w:t>
      </w:r>
      <w:r w:rsidR="0017392B" w:rsidRPr="001C0F07">
        <w:t xml:space="preserve"> fifth </w:t>
      </w:r>
      <w:r w:rsidR="0017392B">
        <w:t>bomb</w:t>
      </w:r>
      <w:r w:rsidR="0017392B" w:rsidRPr="001C0F07">
        <w:t xml:space="preserve"> was </w:t>
      </w:r>
      <w:r w:rsidR="0017392B">
        <w:t xml:space="preserve">discovered </w:t>
      </w:r>
      <w:r w:rsidR="0017392B" w:rsidRPr="001C0F07">
        <w:t>abandoned</w:t>
      </w:r>
      <w:r w:rsidR="0017392B">
        <w:t xml:space="preserve"> and</w:t>
      </w:r>
      <w:r w:rsidR="0017392B" w:rsidRPr="001C0F07">
        <w:t xml:space="preserve"> undetonated in a bin. </w:t>
      </w:r>
      <w:r w:rsidR="00A76EF3">
        <w:t>Mr Manfo </w:t>
      </w:r>
      <w:r w:rsidR="00B3522B">
        <w:t>Asiedu was identified as the fifth conspirator.</w:t>
      </w:r>
    </w:p>
    <w:bookmarkStart w:id="5" w:name="introfailuretoexplode"/>
    <w:p w:rsidR="00560D3E" w:rsidRDefault="0082058A" w:rsidP="007E2F61">
      <w:pPr>
        <w:pStyle w:val="JuPara"/>
      </w:pPr>
      <w:r>
        <w:fldChar w:fldCharType="begin"/>
      </w:r>
      <w:r w:rsidR="007E2F61">
        <w:instrText xml:space="preserve"> SEQ level0 \*arabic </w:instrText>
      </w:r>
      <w:r>
        <w:fldChar w:fldCharType="separate"/>
      </w:r>
      <w:r w:rsidR="00517F95">
        <w:rPr>
          <w:noProof/>
        </w:rPr>
        <w:t>10</w:t>
      </w:r>
      <w:r>
        <w:fldChar w:fldCharType="end"/>
      </w:r>
      <w:bookmarkEnd w:id="5"/>
      <w:r w:rsidR="007E2F61">
        <w:t>.</w:t>
      </w:r>
      <w:r w:rsidR="00661205">
        <w:t>  </w:t>
      </w:r>
      <w:r w:rsidR="007E2F61">
        <w:t xml:space="preserve">Although the four </w:t>
      </w:r>
      <w:r w:rsidR="00E40AF1">
        <w:t>bombs</w:t>
      </w:r>
      <w:r w:rsidR="007E2F61">
        <w:t xml:space="preserve"> were detonated, in each case the main charge</w:t>
      </w:r>
      <w:r w:rsidR="00E40AF1">
        <w:t>, liquid hydrogen peroxide,</w:t>
      </w:r>
      <w:r w:rsidR="007E2F61">
        <w:t xml:space="preserve"> failed to explode.</w:t>
      </w:r>
      <w:r w:rsidR="00173B80">
        <w:t xml:space="preserve"> </w:t>
      </w:r>
      <w:r w:rsidR="007E2F61" w:rsidRPr="00064917">
        <w:t xml:space="preserve">Subsequent testing revealed that </w:t>
      </w:r>
      <w:r w:rsidR="00165ED8">
        <w:t>this</w:t>
      </w:r>
      <w:r w:rsidR="007E2F61" w:rsidRPr="00064917">
        <w:t xml:space="preserve"> was most likely the result of </w:t>
      </w:r>
      <w:r w:rsidR="00E40AF1">
        <w:t>an</w:t>
      </w:r>
      <w:r w:rsidR="007E2F61" w:rsidRPr="00064917">
        <w:t xml:space="preserve"> inadequate concentration </w:t>
      </w:r>
      <w:r w:rsidR="00165ED8">
        <w:t xml:space="preserve">of </w:t>
      </w:r>
      <w:r w:rsidR="00A01BCD">
        <w:t>t</w:t>
      </w:r>
      <w:r w:rsidR="007E2F61" w:rsidRPr="00064917">
        <w:t>he hydrogen peroxide</w:t>
      </w:r>
      <w:r w:rsidR="00165ED8">
        <w:t xml:space="preserve">: the hydrogen peroxide </w:t>
      </w:r>
      <w:r w:rsidR="00E40AF1">
        <w:t xml:space="preserve">found in the bombs had a </w:t>
      </w:r>
      <w:r w:rsidR="003D1B82">
        <w:t xml:space="preserve">lower </w:t>
      </w:r>
      <w:r w:rsidR="00E40AF1">
        <w:t xml:space="preserve">concentration </w:t>
      </w:r>
      <w:r w:rsidR="003D1B82">
        <w:t>than that which</w:t>
      </w:r>
      <w:r w:rsidR="007E2F61" w:rsidRPr="00064917">
        <w:t xml:space="preserve"> would have been </w:t>
      </w:r>
      <w:r w:rsidR="003D1B82">
        <w:t>necessary</w:t>
      </w:r>
      <w:r w:rsidR="003D1B82" w:rsidRPr="00064917">
        <w:t xml:space="preserve"> </w:t>
      </w:r>
      <w:r w:rsidR="007E2F61" w:rsidRPr="00064917">
        <w:t xml:space="preserve">for </w:t>
      </w:r>
      <w:r w:rsidR="00E40AF1">
        <w:t>it</w:t>
      </w:r>
      <w:r w:rsidR="007E2F61" w:rsidRPr="00064917">
        <w:t xml:space="preserve"> to explode.</w:t>
      </w:r>
    </w:p>
    <w:bookmarkStart w:id="6" w:name="JCdeM"/>
    <w:p w:rsidR="0021484A" w:rsidRDefault="0082058A" w:rsidP="001C0F07">
      <w:pPr>
        <w:pStyle w:val="JuPara"/>
      </w:pPr>
      <w:r>
        <w:fldChar w:fldCharType="begin"/>
      </w:r>
      <w:r w:rsidR="001C0F07">
        <w:instrText xml:space="preserve"> SEQ level0 \*arabic </w:instrText>
      </w:r>
      <w:r>
        <w:fldChar w:fldCharType="separate"/>
      </w:r>
      <w:r w:rsidR="00517F95">
        <w:rPr>
          <w:noProof/>
        </w:rPr>
        <w:t>11</w:t>
      </w:r>
      <w:r>
        <w:fldChar w:fldCharType="end"/>
      </w:r>
      <w:bookmarkEnd w:id="6"/>
      <w:r w:rsidR="001C0F07">
        <w:t>.</w:t>
      </w:r>
      <w:r w:rsidR="00661205">
        <w:t>  </w:t>
      </w:r>
      <w:r w:rsidR="00EA0CE9">
        <w:t xml:space="preserve">The first three applicants and Mr Osman all fled the scenes of their attempted </w:t>
      </w:r>
      <w:r w:rsidR="0021484A">
        <w:t>explosions</w:t>
      </w:r>
      <w:r w:rsidR="00D74AC7">
        <w:t>.</w:t>
      </w:r>
      <w:r w:rsidR="00EA0CE9">
        <w:t xml:space="preserve"> I</w:t>
      </w:r>
      <w:r w:rsidR="001C0F07" w:rsidRPr="00064917">
        <w:t>mages</w:t>
      </w:r>
      <w:r w:rsidR="00EA0CE9">
        <w:t xml:space="preserve"> of the </w:t>
      </w:r>
      <w:r w:rsidR="00D74AC7">
        <w:t xml:space="preserve">four </w:t>
      </w:r>
      <w:r w:rsidR="00EA0CE9">
        <w:t xml:space="preserve">men </w:t>
      </w:r>
      <w:r w:rsidR="0017392B">
        <w:t xml:space="preserve">were, however, </w:t>
      </w:r>
      <w:r w:rsidR="001C0F07" w:rsidRPr="00064917">
        <w:t>captured by cl</w:t>
      </w:r>
      <w:r w:rsidR="00EA0CE9">
        <w:t xml:space="preserve">osed-circuit television </w:t>
      </w:r>
      <w:r w:rsidR="003C634A">
        <w:t xml:space="preserve">(“CCTV”) </w:t>
      </w:r>
      <w:r w:rsidR="00EA0CE9">
        <w:t>cameras</w:t>
      </w:r>
      <w:r w:rsidR="001C0F07">
        <w:t>.</w:t>
      </w:r>
      <w:r w:rsidR="007A705F">
        <w:t xml:space="preserve"> A </w:t>
      </w:r>
      <w:r w:rsidR="0017392B">
        <w:t xml:space="preserve">national </w:t>
      </w:r>
      <w:r w:rsidR="00EA0CE9">
        <w:t xml:space="preserve">police </w:t>
      </w:r>
      <w:r w:rsidR="00E327D0">
        <w:t>man</w:t>
      </w:r>
      <w:r w:rsidR="0021484A">
        <w:t>hunt</w:t>
      </w:r>
      <w:r w:rsidR="007A705F">
        <w:t xml:space="preserve"> began</w:t>
      </w:r>
      <w:r w:rsidR="00EA0CE9">
        <w:t xml:space="preserve">, </w:t>
      </w:r>
      <w:r w:rsidR="006B6567">
        <w:t xml:space="preserve">in which photographs </w:t>
      </w:r>
      <w:r w:rsidR="0017392B">
        <w:t>and the</w:t>
      </w:r>
      <w:r w:rsidR="006B6567">
        <w:t xml:space="preserve"> CCTV </w:t>
      </w:r>
      <w:r w:rsidR="0017392B">
        <w:t xml:space="preserve">images </w:t>
      </w:r>
      <w:r w:rsidR="006B6567">
        <w:t xml:space="preserve">of the men </w:t>
      </w:r>
      <w:r w:rsidR="0017392B">
        <w:t>were</w:t>
      </w:r>
      <w:r w:rsidR="006B6567">
        <w:t xml:space="preserve"> broadcast </w:t>
      </w:r>
      <w:r w:rsidR="0017392B">
        <w:t>on</w:t>
      </w:r>
      <w:r w:rsidR="007A705F">
        <w:t xml:space="preserve"> national television</w:t>
      </w:r>
      <w:r w:rsidR="0021484A">
        <w:t xml:space="preserve">. The following day, 22 July, </w:t>
      </w:r>
      <w:r w:rsidR="00B3522B">
        <w:t xml:space="preserve">a young man was shot and killed </w:t>
      </w:r>
      <w:r w:rsidR="008D323F">
        <w:t xml:space="preserve">on the London underground </w:t>
      </w:r>
      <w:r w:rsidR="00B3522B">
        <w:t>by police after being mistaken for one of the men</w:t>
      </w:r>
      <w:r w:rsidR="007A705F">
        <w:t>.</w:t>
      </w:r>
      <w:r w:rsidR="00BB1775">
        <w:t xml:space="preserve"> </w:t>
      </w:r>
      <w:r w:rsidR="007A705F">
        <w:t xml:space="preserve">The four men </w:t>
      </w:r>
      <w:r w:rsidR="001C0F07">
        <w:t>were arrested</w:t>
      </w:r>
      <w:r w:rsidR="00EE707D">
        <w:t>, the first three applicants in England</w:t>
      </w:r>
      <w:r w:rsidR="00E327D0">
        <w:t xml:space="preserve"> between 27 and 29 July</w:t>
      </w:r>
      <w:r w:rsidR="0021484A">
        <w:t xml:space="preserve"> and</w:t>
      </w:r>
      <w:r w:rsidR="00EE707D">
        <w:t xml:space="preserve"> Mr Osman in Rome, Italy</w:t>
      </w:r>
      <w:r w:rsidR="00E327D0">
        <w:t>, on 30 July</w:t>
      </w:r>
      <w:r w:rsidR="00EE707D">
        <w:t>. They were t</w:t>
      </w:r>
      <w:r w:rsidR="001C0F07">
        <w:t>ried and convicted for conspiracy to murder.</w:t>
      </w:r>
    </w:p>
    <w:p w:rsidR="00EA0CE9" w:rsidRDefault="00555E80" w:rsidP="001C0F07">
      <w:pPr>
        <w:pStyle w:val="JuPara"/>
      </w:pPr>
      <w:r>
        <w:lastRenderedPageBreak/>
        <w:fldChar w:fldCharType="begin"/>
      </w:r>
      <w:r>
        <w:instrText xml:space="preserve"> SEQ level0 \*arabic </w:instrText>
      </w:r>
      <w:r>
        <w:fldChar w:fldCharType="separate"/>
      </w:r>
      <w:r w:rsidR="00517F95">
        <w:rPr>
          <w:noProof/>
        </w:rPr>
        <w:t>12</w:t>
      </w:r>
      <w:r>
        <w:rPr>
          <w:noProof/>
        </w:rPr>
        <w:fldChar w:fldCharType="end"/>
      </w:r>
      <w:r w:rsidR="00EA0CE9">
        <w:t>.</w:t>
      </w:r>
      <w:r w:rsidR="00661205">
        <w:t>  </w:t>
      </w:r>
      <w:r w:rsidR="00C354CA">
        <w:t xml:space="preserve">The fourth applicant, Mr Abdurahman, gave Mr Osman </w:t>
      </w:r>
      <w:r w:rsidR="00EE707D">
        <w:t>shelter at his home in London</w:t>
      </w:r>
      <w:r w:rsidR="00F5468A">
        <w:t>, during the period when</w:t>
      </w:r>
      <w:r w:rsidR="00C354CA">
        <w:t xml:space="preserve"> </w:t>
      </w:r>
      <w:r w:rsidR="00EE707D">
        <w:t>Mr Osman</w:t>
      </w:r>
      <w:r w:rsidR="00C354CA">
        <w:t xml:space="preserve"> was on the run from the police</w:t>
      </w:r>
      <w:r w:rsidR="0021484A">
        <w:t xml:space="preserve"> and</w:t>
      </w:r>
      <w:r w:rsidR="00F5468A">
        <w:t xml:space="preserve"> </w:t>
      </w:r>
      <w:r w:rsidR="00EE707D">
        <w:t>before he fled to Rome.</w:t>
      </w:r>
      <w:r w:rsidR="00C354CA">
        <w:t xml:space="preserve"> </w:t>
      </w:r>
      <w:r w:rsidR="0017392B">
        <w:t xml:space="preserve">In separate proceedings, </w:t>
      </w:r>
      <w:r w:rsidR="00EE707D">
        <w:t>Mr</w:t>
      </w:r>
      <w:r w:rsidR="00F5468A">
        <w:t> </w:t>
      </w:r>
      <w:r w:rsidR="003C634A">
        <w:t>Abdurah</w:t>
      </w:r>
      <w:r w:rsidR="00EE707D">
        <w:t>m</w:t>
      </w:r>
      <w:r w:rsidR="00C333A7">
        <w:t>a</w:t>
      </w:r>
      <w:r w:rsidR="00EE707D">
        <w:t>n</w:t>
      </w:r>
      <w:r w:rsidR="00C354CA">
        <w:t xml:space="preserve"> was tried and convicted of </w:t>
      </w:r>
      <w:r w:rsidR="00C354CA" w:rsidRPr="00C354CA">
        <w:t xml:space="preserve">assisting </w:t>
      </w:r>
      <w:r w:rsidR="00A76EF3">
        <w:t xml:space="preserve">Mr </w:t>
      </w:r>
      <w:r w:rsidR="00C354CA" w:rsidRPr="00C354CA">
        <w:t>Osman and failing to disclose information after the event.</w:t>
      </w:r>
    </w:p>
    <w:p w:rsidR="00BE108F" w:rsidRDefault="00555E80" w:rsidP="001C0F07">
      <w:pPr>
        <w:pStyle w:val="JuPara"/>
      </w:pPr>
      <w:r>
        <w:fldChar w:fldCharType="begin"/>
      </w:r>
      <w:r>
        <w:instrText xml:space="preserve"> SEQ</w:instrText>
      </w:r>
      <w:r>
        <w:instrText xml:space="preserve"> level0 \*arabic </w:instrText>
      </w:r>
      <w:r>
        <w:fldChar w:fldCharType="separate"/>
      </w:r>
      <w:r w:rsidR="00517F95">
        <w:rPr>
          <w:noProof/>
        </w:rPr>
        <w:t>13</w:t>
      </w:r>
      <w:r>
        <w:rPr>
          <w:noProof/>
        </w:rPr>
        <w:fldChar w:fldCharType="end"/>
      </w:r>
      <w:r w:rsidR="00BE108F">
        <w:t>.  The details of the applicants</w:t>
      </w:r>
      <w:r w:rsidR="005E7B7A">
        <w:t>’</w:t>
      </w:r>
      <w:r w:rsidR="00BE108F">
        <w:t xml:space="preserve"> arrests and initial police questioning are set out more fully below.</w:t>
      </w:r>
    </w:p>
    <w:p w:rsidR="00C354CA" w:rsidRDefault="0021484A" w:rsidP="0021484A">
      <w:pPr>
        <w:pStyle w:val="ECHRHeading2"/>
      </w:pPr>
      <w:r>
        <w:t>B</w:t>
      </w:r>
      <w:r w:rsidR="00661205">
        <w:t>.  </w:t>
      </w:r>
      <w:r w:rsidR="00C354CA">
        <w:t xml:space="preserve">The </w:t>
      </w:r>
      <w:r w:rsidR="003D0BC4">
        <w:t xml:space="preserve">case of the </w:t>
      </w:r>
      <w:r w:rsidR="009E3365">
        <w:t>first three applicants</w:t>
      </w:r>
    </w:p>
    <w:p w:rsidR="007E2F61" w:rsidRDefault="0021484A" w:rsidP="0021484A">
      <w:pPr>
        <w:pStyle w:val="ECHRHeading3"/>
      </w:pPr>
      <w:r>
        <w:t>1.</w:t>
      </w:r>
      <w:r w:rsidR="00661205">
        <w:t>  </w:t>
      </w:r>
      <w:r w:rsidR="00C354CA">
        <w:t>The arrest</w:t>
      </w:r>
      <w:r w:rsidR="009011CC">
        <w:t>s and interviews</w:t>
      </w:r>
    </w:p>
    <w:p w:rsidR="00491FF5" w:rsidRPr="00064917" w:rsidRDefault="0021484A" w:rsidP="0021484A">
      <w:pPr>
        <w:pStyle w:val="ECHRHeading4"/>
      </w:pPr>
      <w:r>
        <w:t>(a</w:t>
      </w:r>
      <w:r w:rsidR="00D056C3">
        <w:t>)</w:t>
      </w:r>
      <w:r w:rsidR="00661205">
        <w:t>  </w:t>
      </w:r>
      <w:r w:rsidR="00491FF5" w:rsidRPr="00064917">
        <w:t xml:space="preserve">The arrest and </w:t>
      </w:r>
      <w:r w:rsidR="00D056C3">
        <w:t>interview</w:t>
      </w:r>
      <w:r w:rsidR="00491FF5" w:rsidRPr="00064917">
        <w:t xml:space="preserve"> of Mr Omar</w:t>
      </w:r>
    </w:p>
    <w:bookmarkStart w:id="7" w:name="Omararrest"/>
    <w:p w:rsidR="00235A31" w:rsidRDefault="0082058A" w:rsidP="00491FF5">
      <w:pPr>
        <w:pStyle w:val="JuPara"/>
      </w:pPr>
      <w:r>
        <w:fldChar w:fldCharType="begin"/>
      </w:r>
      <w:r w:rsidR="00D056C3">
        <w:instrText xml:space="preserve"> SEQ level0 \*arabic </w:instrText>
      </w:r>
      <w:r>
        <w:fldChar w:fldCharType="separate"/>
      </w:r>
      <w:r w:rsidR="00517F95">
        <w:rPr>
          <w:noProof/>
        </w:rPr>
        <w:t>14</w:t>
      </w:r>
      <w:r>
        <w:fldChar w:fldCharType="end"/>
      </w:r>
      <w:bookmarkEnd w:id="7"/>
      <w:r w:rsidR="00D056C3">
        <w:t>.</w:t>
      </w:r>
      <w:r w:rsidR="00661205">
        <w:t>  </w:t>
      </w:r>
      <w:r w:rsidR="00A00CF6">
        <w:t xml:space="preserve">The first </w:t>
      </w:r>
      <w:r w:rsidR="00BC5C04">
        <w:t xml:space="preserve">of the bombers </w:t>
      </w:r>
      <w:r w:rsidR="00A00CF6">
        <w:t xml:space="preserve">to be </w:t>
      </w:r>
      <w:r w:rsidR="00C354CA">
        <w:t xml:space="preserve">arrested was </w:t>
      </w:r>
      <w:r w:rsidR="00491FF5" w:rsidRPr="00064917">
        <w:t>Mr Omar</w:t>
      </w:r>
      <w:r w:rsidR="00C354CA">
        <w:t xml:space="preserve">. He </w:t>
      </w:r>
      <w:r w:rsidR="00491FF5" w:rsidRPr="00064917">
        <w:t>was arrested on 27 July 2</w:t>
      </w:r>
      <w:r w:rsidR="00A76EF3">
        <w:t>005 at 5.15 a.m. in Birmingham.</w:t>
      </w:r>
    </w:p>
    <w:p w:rsidR="00C46602" w:rsidRPr="00064917" w:rsidRDefault="00555E80" w:rsidP="00DA304D">
      <w:pPr>
        <w:pStyle w:val="JuPara"/>
      </w:pPr>
      <w:r>
        <w:fldChar w:fldCharType="begin"/>
      </w:r>
      <w:r>
        <w:instrText xml:space="preserve"> SEQ level0 \*arabic </w:instrText>
      </w:r>
      <w:r>
        <w:fldChar w:fldCharType="separate"/>
      </w:r>
      <w:bookmarkStart w:id="8" w:name="aaa15omarcaution"/>
      <w:r w:rsidR="00517F95">
        <w:rPr>
          <w:noProof/>
        </w:rPr>
        <w:t>15</w:t>
      </w:r>
      <w:bookmarkEnd w:id="8"/>
      <w:r>
        <w:rPr>
          <w:noProof/>
        </w:rPr>
        <w:fldChar w:fldCharType="end"/>
      </w:r>
      <w:r w:rsidR="00235A31">
        <w:t>.</w:t>
      </w:r>
      <w:r w:rsidR="00661205">
        <w:t>  </w:t>
      </w:r>
      <w:r w:rsidR="00D056C3">
        <w:t xml:space="preserve">Upon arrest, he was </w:t>
      </w:r>
      <w:r w:rsidR="00491FF5" w:rsidRPr="00064917">
        <w:t xml:space="preserve">cautioned </w:t>
      </w:r>
      <w:r w:rsidR="00D056C3">
        <w:t xml:space="preserve">by the police </w:t>
      </w:r>
      <w:r w:rsidR="00491FF5" w:rsidRPr="00064917">
        <w:t xml:space="preserve">using the </w:t>
      </w:r>
      <w:r w:rsidR="00D056C3">
        <w:t>“</w:t>
      </w:r>
      <w:r w:rsidR="00491FF5" w:rsidRPr="00064917">
        <w:t>new-style</w:t>
      </w:r>
      <w:r w:rsidR="00D056C3">
        <w:t>”</w:t>
      </w:r>
      <w:r w:rsidR="00491FF5" w:rsidRPr="00064917">
        <w:t xml:space="preserve"> caution</w:t>
      </w:r>
      <w:r w:rsidR="00165ED8">
        <w:t xml:space="preserve"> (see paragraph </w:t>
      </w:r>
      <w:r w:rsidR="0082058A">
        <w:fldChar w:fldCharType="begin"/>
      </w:r>
      <w:r w:rsidR="00165ED8">
        <w:instrText xml:space="preserve"> REF cautionnewstyle \h </w:instrText>
      </w:r>
      <w:r w:rsidR="0082058A">
        <w:fldChar w:fldCharType="separate"/>
      </w:r>
      <w:r w:rsidR="00517F95">
        <w:rPr>
          <w:noProof/>
        </w:rPr>
        <w:t>137</w:t>
      </w:r>
      <w:r w:rsidR="0082058A">
        <w:fldChar w:fldCharType="end"/>
      </w:r>
      <w:r w:rsidR="00165ED8">
        <w:t xml:space="preserve"> below)</w:t>
      </w:r>
      <w:r w:rsidR="00491FF5" w:rsidRPr="00064917">
        <w:t>, namely that he did not have to answer questions but that anything he did say might be given in evidence, and that adverse inferences might be drawn from his silence if he failed to mention matters later relied on by him at trial.</w:t>
      </w:r>
      <w:r w:rsidR="00C46602">
        <w:t xml:space="preserve"> </w:t>
      </w:r>
      <w:r w:rsidR="00DA304D">
        <w:t>T</w:t>
      </w:r>
      <w:r w:rsidR="00C46602">
        <w:t xml:space="preserve">he police officers </w:t>
      </w:r>
      <w:r w:rsidR="00DA304D">
        <w:t>who accompanied him to the police station</w:t>
      </w:r>
      <w:r w:rsidR="00C46602">
        <w:t xml:space="preserve"> </w:t>
      </w:r>
      <w:r w:rsidR="00DA304D">
        <w:t xml:space="preserve">later </w:t>
      </w:r>
      <w:r w:rsidR="00C46602">
        <w:t xml:space="preserve">gave evidence that Mr Omar </w:t>
      </w:r>
      <w:r w:rsidR="00DA304D">
        <w:t xml:space="preserve">had </w:t>
      </w:r>
      <w:r w:rsidR="00C46602">
        <w:t xml:space="preserve">said </w:t>
      </w:r>
      <w:r w:rsidR="00DA304D">
        <w:t xml:space="preserve">that </w:t>
      </w:r>
      <w:r w:rsidR="00C46602">
        <w:t>he had not known what he was doing, had not known</w:t>
      </w:r>
      <w:r w:rsidR="00DA304D">
        <w:t xml:space="preserve"> that the bomb would go off and had not </w:t>
      </w:r>
      <w:r w:rsidR="00C46602">
        <w:t>want</w:t>
      </w:r>
      <w:r w:rsidR="00DA304D">
        <w:t>ed</w:t>
      </w:r>
      <w:r w:rsidR="00C46602">
        <w:t xml:space="preserve"> to hurt anyone.</w:t>
      </w:r>
    </w:p>
    <w:p w:rsidR="00491FF5" w:rsidRDefault="00555E80" w:rsidP="00491FF5">
      <w:pPr>
        <w:pStyle w:val="JuPara"/>
      </w:pPr>
      <w:r>
        <w:fldChar w:fldCharType="begin"/>
      </w:r>
      <w:r>
        <w:instrText xml:space="preserve"> SEQ level0 \*arabic </w:instrText>
      </w:r>
      <w:r>
        <w:fldChar w:fldCharType="separate"/>
      </w:r>
      <w:r w:rsidR="00517F95">
        <w:rPr>
          <w:noProof/>
        </w:rPr>
        <w:t>16</w:t>
      </w:r>
      <w:r>
        <w:rPr>
          <w:noProof/>
        </w:rPr>
        <w:fldChar w:fldCharType="end"/>
      </w:r>
      <w:r w:rsidR="00D056C3">
        <w:t>.</w:t>
      </w:r>
      <w:r w:rsidR="00661205">
        <w:t>  </w:t>
      </w:r>
      <w:r w:rsidR="00884DB8">
        <w:t xml:space="preserve">Mr Omar </w:t>
      </w:r>
      <w:r w:rsidR="00491FF5" w:rsidRPr="00064917">
        <w:t xml:space="preserve">arrived at Paddington Green </w:t>
      </w:r>
      <w:r w:rsidR="00DA304D">
        <w:t>Police Station, London, at 7.20 a.m</w:t>
      </w:r>
      <w:r w:rsidR="0017392B">
        <w:t>.</w:t>
      </w:r>
      <w:r w:rsidR="00491FF5" w:rsidRPr="00064917">
        <w:t xml:space="preserve"> At 7.50 a.m. he requested the attendance of a solicitor. He was told that he was entitled to consult a solicitor but that this right could be delayed for up to forty-eight hours if authorised by a</w:t>
      </w:r>
      <w:r w:rsidR="00D056C3">
        <w:t xml:space="preserve"> police</w:t>
      </w:r>
      <w:r w:rsidR="00491FF5" w:rsidRPr="00064917">
        <w:t xml:space="preserve"> officer of the rank of superintendent or above. At 7.55 a.m. a superintendent ordered that Mr Omar be held incommunicado</w:t>
      </w:r>
      <w:r w:rsidR="00923CD7">
        <w:t xml:space="preserve"> under Schedule 8 of the Terrorism Act 2000</w:t>
      </w:r>
      <w:r w:rsidR="00491FF5" w:rsidRPr="00064917">
        <w:t xml:space="preserve"> (see paragraphs</w:t>
      </w:r>
      <w:r w:rsidR="00923CD7">
        <w:t xml:space="preserve"> </w:t>
      </w:r>
      <w:r w:rsidR="0082058A">
        <w:fldChar w:fldCharType="begin"/>
      </w:r>
      <w:r w:rsidR="00923CD7">
        <w:instrText xml:space="preserve"> REF incommunicado1 \h </w:instrText>
      </w:r>
      <w:r w:rsidR="0082058A">
        <w:fldChar w:fldCharType="separate"/>
      </w:r>
      <w:r w:rsidR="00517F95">
        <w:rPr>
          <w:noProof/>
        </w:rPr>
        <w:t>140</w:t>
      </w:r>
      <w:r w:rsidR="0082058A">
        <w:fldChar w:fldCharType="end"/>
      </w:r>
      <w:r w:rsidR="00F5468A">
        <w:t>-</w:t>
      </w:r>
      <w:r w:rsidR="0082058A">
        <w:fldChar w:fldCharType="begin"/>
      </w:r>
      <w:r w:rsidR="00923CD7">
        <w:instrText xml:space="preserve"> REF incommunicado3 \h </w:instrText>
      </w:r>
      <w:r w:rsidR="0082058A">
        <w:fldChar w:fldCharType="separate"/>
      </w:r>
      <w:r w:rsidR="00517F95">
        <w:rPr>
          <w:noProof/>
        </w:rPr>
        <w:t>143</w:t>
      </w:r>
      <w:r w:rsidR="0082058A">
        <w:fldChar w:fldCharType="end"/>
      </w:r>
      <w:r w:rsidR="00491FF5" w:rsidRPr="00064917">
        <w:t xml:space="preserve"> below).</w:t>
      </w:r>
    </w:p>
    <w:bookmarkStart w:id="9" w:name="F17safetyinterviewdef"/>
    <w:p w:rsidR="00491FF5" w:rsidRPr="00064917" w:rsidRDefault="0082058A" w:rsidP="00491FF5">
      <w:pPr>
        <w:pStyle w:val="JuPara"/>
      </w:pPr>
      <w:r>
        <w:fldChar w:fldCharType="begin"/>
      </w:r>
      <w:r w:rsidR="00F71299">
        <w:instrText xml:space="preserve"> SEQ level0 \*arabic </w:instrText>
      </w:r>
      <w:r>
        <w:fldChar w:fldCharType="separate"/>
      </w:r>
      <w:r w:rsidR="00517F95">
        <w:rPr>
          <w:noProof/>
        </w:rPr>
        <w:t>17</w:t>
      </w:r>
      <w:r>
        <w:rPr>
          <w:noProof/>
        </w:rPr>
        <w:fldChar w:fldCharType="end"/>
      </w:r>
      <w:bookmarkEnd w:id="9"/>
      <w:r w:rsidR="00D056C3">
        <w:t>.</w:t>
      </w:r>
      <w:r w:rsidR="00661205">
        <w:t>  </w:t>
      </w:r>
      <w:r w:rsidR="00491FF5" w:rsidRPr="00064917">
        <w:t xml:space="preserve">Shortly afterwards, a different superintendent directed that a safety interview be conducted with Mr Omar. A “safety interview” is an interview conducted urgently for the purpose of protecting life and preventing serious damage to property. The detainee is questioned in order to secure information that may help avert harm to the public, by preventing a further terrorist attack, for example. </w:t>
      </w:r>
      <w:r w:rsidR="003C634A">
        <w:t>T</w:t>
      </w:r>
      <w:r w:rsidR="00491FF5" w:rsidRPr="00064917">
        <w:t xml:space="preserve">he interview </w:t>
      </w:r>
      <w:r w:rsidR="0021484A">
        <w:t>may occur</w:t>
      </w:r>
      <w:r w:rsidR="00491FF5" w:rsidRPr="00064917">
        <w:t xml:space="preserve"> in the absence of a </w:t>
      </w:r>
      <w:r w:rsidR="0021484A">
        <w:t>solicitor</w:t>
      </w:r>
      <w:r w:rsidR="00491FF5" w:rsidRPr="00064917">
        <w:t xml:space="preserve"> and before the detainee has had the opportunity to </w:t>
      </w:r>
      <w:r w:rsidR="0021484A">
        <w:t>seek legal advice</w:t>
      </w:r>
      <w:r w:rsidR="00491FF5" w:rsidRPr="00064917">
        <w:t xml:space="preserve"> (see paragraphs </w:t>
      </w:r>
      <w:r>
        <w:rPr>
          <w:b/>
        </w:rPr>
        <w:fldChar w:fldCharType="begin"/>
      </w:r>
      <w:r w:rsidR="00DA4260">
        <w:instrText xml:space="preserve"> REF safetyinterviewsrdlp1 \h </w:instrText>
      </w:r>
      <w:r>
        <w:rPr>
          <w:b/>
        </w:rPr>
      </w:r>
      <w:r>
        <w:rPr>
          <w:b/>
        </w:rPr>
        <w:fldChar w:fldCharType="separate"/>
      </w:r>
      <w:r w:rsidR="00517F95">
        <w:rPr>
          <w:noProof/>
        </w:rPr>
        <w:t>146</w:t>
      </w:r>
      <w:r>
        <w:rPr>
          <w:b/>
        </w:rPr>
        <w:fldChar w:fldCharType="end"/>
      </w:r>
      <w:r w:rsidR="00DA4260">
        <w:rPr>
          <w:b/>
        </w:rPr>
        <w:t xml:space="preserve"> </w:t>
      </w:r>
      <w:r w:rsidR="00DA4260">
        <w:t xml:space="preserve">et seq. </w:t>
      </w:r>
      <w:r w:rsidR="00491FF5" w:rsidRPr="00064917">
        <w:t>below).</w:t>
      </w:r>
    </w:p>
    <w:p w:rsidR="00491FF5" w:rsidRDefault="00555E80" w:rsidP="00491FF5">
      <w:pPr>
        <w:pStyle w:val="JuPara"/>
      </w:pPr>
      <w:r>
        <w:fldChar w:fldCharType="begin"/>
      </w:r>
      <w:r>
        <w:instrText xml:space="preserve"> SEQ level0 \*arabic </w:instrText>
      </w:r>
      <w:r>
        <w:fldChar w:fldCharType="separate"/>
      </w:r>
      <w:r w:rsidR="00517F95">
        <w:rPr>
          <w:noProof/>
        </w:rPr>
        <w:t>18</w:t>
      </w:r>
      <w:r>
        <w:rPr>
          <w:noProof/>
        </w:rPr>
        <w:fldChar w:fldCharType="end"/>
      </w:r>
      <w:r w:rsidR="00D056C3">
        <w:t>.</w:t>
      </w:r>
      <w:r w:rsidR="00661205">
        <w:t>  </w:t>
      </w:r>
      <w:r w:rsidR="00491FF5" w:rsidRPr="00064917">
        <w:t>At 9 a.m. a brief safety interview took place. It lasted three minutes and focused on whether there was anything unsafe in a bag which Mr Omar had discarded when he was arrested.</w:t>
      </w:r>
    </w:p>
    <w:p w:rsidR="00F1147F" w:rsidRDefault="00555E80" w:rsidP="00491FF5">
      <w:pPr>
        <w:pStyle w:val="JuPara"/>
      </w:pPr>
      <w:r>
        <w:fldChar w:fldCharType="begin"/>
      </w:r>
      <w:r>
        <w:instrText xml:space="preserve"> SEQ level0 \*arabic </w:instrText>
      </w:r>
      <w:r>
        <w:fldChar w:fldCharType="separate"/>
      </w:r>
      <w:r w:rsidR="00517F95">
        <w:rPr>
          <w:noProof/>
        </w:rPr>
        <w:t>19</w:t>
      </w:r>
      <w:r>
        <w:rPr>
          <w:noProof/>
        </w:rPr>
        <w:fldChar w:fldCharType="end"/>
      </w:r>
      <w:r w:rsidR="00D056C3">
        <w:t>.</w:t>
      </w:r>
      <w:r w:rsidR="00661205">
        <w:t>  </w:t>
      </w:r>
      <w:r w:rsidR="00491FF5" w:rsidRPr="00064917">
        <w:t xml:space="preserve">At 9.15 a.m. the custody officer </w:t>
      </w:r>
      <w:r w:rsidR="00F1147F">
        <w:t xml:space="preserve">at </w:t>
      </w:r>
      <w:r w:rsidR="00B8497F">
        <w:t>Paddington Green</w:t>
      </w:r>
      <w:r w:rsidR="00F1147F">
        <w:t xml:space="preserve"> </w:t>
      </w:r>
      <w:r w:rsidR="00491FF5" w:rsidRPr="00064917">
        <w:t>contacted the duty solici</w:t>
      </w:r>
      <w:r w:rsidR="00A76EF3">
        <w:t>tor on behalf of Mr Omar.</w:t>
      </w:r>
    </w:p>
    <w:p w:rsidR="00491FF5" w:rsidRPr="00064917" w:rsidRDefault="00555E80" w:rsidP="00491FF5">
      <w:pPr>
        <w:pStyle w:val="JuPara"/>
      </w:pPr>
      <w:r>
        <w:lastRenderedPageBreak/>
        <w:fldChar w:fldCharType="begin"/>
      </w:r>
      <w:r>
        <w:instrText xml:space="preserve"> SEQ level0 \*arabic </w:instrText>
      </w:r>
      <w:r>
        <w:fldChar w:fldCharType="separate"/>
      </w:r>
      <w:r w:rsidR="00517F95">
        <w:rPr>
          <w:noProof/>
        </w:rPr>
        <w:t>20</w:t>
      </w:r>
      <w:r>
        <w:rPr>
          <w:noProof/>
        </w:rPr>
        <w:fldChar w:fldCharType="end"/>
      </w:r>
      <w:r w:rsidR="00F1147F">
        <w:t>.</w:t>
      </w:r>
      <w:r w:rsidR="00661205">
        <w:t>  </w:t>
      </w:r>
      <w:r w:rsidR="00491FF5" w:rsidRPr="00064917">
        <w:t>At 10.06 a.m. and 10.14 a.m. Mr Omar again requested access to a solicitor. He was told that this would be arranged as soon as the booking-in process had been completed.</w:t>
      </w:r>
    </w:p>
    <w:bookmarkStart w:id="10" w:name="OmarreasonsforSIfinal"/>
    <w:p w:rsidR="00FA5EE5" w:rsidRDefault="0082058A" w:rsidP="00DA304D">
      <w:pPr>
        <w:pStyle w:val="JuPara"/>
      </w:pPr>
      <w:r>
        <w:fldChar w:fldCharType="begin"/>
      </w:r>
      <w:r w:rsidR="00D056C3">
        <w:instrText xml:space="preserve"> SEQ level0 \*arabic </w:instrText>
      </w:r>
      <w:r>
        <w:fldChar w:fldCharType="separate"/>
      </w:r>
      <w:r w:rsidR="00517F95">
        <w:rPr>
          <w:noProof/>
        </w:rPr>
        <w:t>21</w:t>
      </w:r>
      <w:r>
        <w:fldChar w:fldCharType="end"/>
      </w:r>
      <w:bookmarkEnd w:id="10"/>
      <w:r w:rsidR="00D056C3">
        <w:t>.</w:t>
      </w:r>
      <w:r w:rsidR="00661205">
        <w:t>  </w:t>
      </w:r>
      <w:r w:rsidR="00491FF5" w:rsidRPr="00064917">
        <w:t>At 10.24 a.m. the custody officer was told that a further safety interview had been authorised. It was recorded in writing that Mr Omar had not been given access to legal advice on the grounds that delaying the interview would involve an immediate risk of harm to persons or damage to property and that legal advice would lead to the alerting of other people suspected of having committed offences but not yet arrested, which would in turn make it more difficult to prevent an act of terrorism or to secure the arrest, prosecution or conviction of persons in connection with terrorism offences. The reason for these beliefs, which was also record</w:t>
      </w:r>
      <w:r w:rsidR="00491FF5">
        <w:t>ed, was that Mr </w:t>
      </w:r>
      <w:r w:rsidR="00491FF5" w:rsidRPr="00064917">
        <w:t>Omar was suspected of participating in the attacks of 21 July together with at least three as yet unidentified accomplices.</w:t>
      </w:r>
      <w:r w:rsidR="00DA304D">
        <w:t xml:space="preserve"> </w:t>
      </w:r>
      <w:r w:rsidR="00FA5EE5">
        <w:t>There then f</w:t>
      </w:r>
      <w:r w:rsidR="00A76EF3">
        <w:t>ollowed four safety interviews.</w:t>
      </w:r>
    </w:p>
    <w:bookmarkStart w:id="11" w:name="aaa22omarcaution"/>
    <w:p w:rsidR="00FA5EE5" w:rsidRDefault="003D1B82" w:rsidP="00491FF5">
      <w:pPr>
        <w:pStyle w:val="JuPara"/>
      </w:pPr>
      <w:r>
        <w:fldChar w:fldCharType="begin"/>
      </w:r>
      <w:r>
        <w:instrText xml:space="preserve"> SEQ level0 \*arabic </w:instrText>
      </w:r>
      <w:r>
        <w:fldChar w:fldCharType="separate"/>
      </w:r>
      <w:r w:rsidR="00517F95">
        <w:rPr>
          <w:noProof/>
        </w:rPr>
        <w:t>22</w:t>
      </w:r>
      <w:r>
        <w:rPr>
          <w:noProof/>
        </w:rPr>
        <w:fldChar w:fldCharType="end"/>
      </w:r>
      <w:bookmarkEnd w:id="11"/>
      <w:r w:rsidR="00DA304D">
        <w:t>.  </w:t>
      </w:r>
      <w:r w:rsidR="00FA5EE5">
        <w:t>S</w:t>
      </w:r>
      <w:r w:rsidR="00F1147F">
        <w:t>afety interview A</w:t>
      </w:r>
      <w:r w:rsidR="00FA5EE5">
        <w:t xml:space="preserve"> </w:t>
      </w:r>
      <w:r w:rsidR="00491FF5" w:rsidRPr="00064917">
        <w:t>commenced at 10.25 a.m. and concluded at 11.11 a.m. At the beginning of the interview, Mr Omar was given the old-style caution</w:t>
      </w:r>
      <w:r w:rsidR="00165ED8">
        <w:t xml:space="preserve"> (see paragraph </w:t>
      </w:r>
      <w:r w:rsidR="0082058A">
        <w:fldChar w:fldCharType="begin"/>
      </w:r>
      <w:r w:rsidR="00165ED8">
        <w:instrText xml:space="preserve"> REF cautionoldstyle \h </w:instrText>
      </w:r>
      <w:r w:rsidR="0082058A">
        <w:fldChar w:fldCharType="separate"/>
      </w:r>
      <w:r w:rsidR="00517F95">
        <w:rPr>
          <w:noProof/>
        </w:rPr>
        <w:t>135</w:t>
      </w:r>
      <w:r w:rsidR="0082058A">
        <w:fldChar w:fldCharType="end"/>
      </w:r>
      <w:r w:rsidR="00165ED8">
        <w:t xml:space="preserve"> below)</w:t>
      </w:r>
      <w:r w:rsidR="00491FF5" w:rsidRPr="00064917">
        <w:t xml:space="preserve">, namely that he did not need to say anything but that anything he did </w:t>
      </w:r>
      <w:r w:rsidR="00A76EF3">
        <w:t>say might be given in evidence.</w:t>
      </w:r>
    </w:p>
    <w:bookmarkStart w:id="12" w:name="aaa23omarcaution"/>
    <w:p w:rsidR="002D37DC" w:rsidRDefault="003D1B82" w:rsidP="00491FF5">
      <w:pPr>
        <w:pStyle w:val="JuPara"/>
      </w:pPr>
      <w:r>
        <w:fldChar w:fldCharType="begin"/>
      </w:r>
      <w:r>
        <w:instrText xml:space="preserve"> SEQ level0 \*arabic </w:instrText>
      </w:r>
      <w:r>
        <w:fldChar w:fldCharType="separate"/>
      </w:r>
      <w:r w:rsidR="00517F95">
        <w:rPr>
          <w:noProof/>
        </w:rPr>
        <w:t>23</w:t>
      </w:r>
      <w:r>
        <w:rPr>
          <w:noProof/>
        </w:rPr>
        <w:fldChar w:fldCharType="end"/>
      </w:r>
      <w:bookmarkEnd w:id="12"/>
      <w:r w:rsidR="00DA304D">
        <w:t>.  </w:t>
      </w:r>
      <w:r w:rsidR="00491FF5" w:rsidRPr="00064917">
        <w:t>Safety interview B commenced at 11</w:t>
      </w:r>
      <w:r w:rsidR="00165ED8">
        <w:t>.26</w:t>
      </w:r>
      <w:r w:rsidR="00A76EF3">
        <w:t xml:space="preserve"> </w:t>
      </w:r>
      <w:r w:rsidR="00165ED8">
        <w:t>a.m. and concluded at 12.11 </w:t>
      </w:r>
      <w:r w:rsidR="00491FF5" w:rsidRPr="00064917">
        <w:t>a.m. Again, Mr Omar was given the old-style caution</w:t>
      </w:r>
      <w:r w:rsidR="00A76EF3">
        <w:t xml:space="preserve"> at the start of the interview.</w:t>
      </w:r>
    </w:p>
    <w:p w:rsidR="00FA5EE5" w:rsidRDefault="00555E80" w:rsidP="00491FF5">
      <w:pPr>
        <w:pStyle w:val="JuPara"/>
      </w:pPr>
      <w:r>
        <w:fldChar w:fldCharType="begin"/>
      </w:r>
      <w:r>
        <w:instrText xml:space="preserve"> SEQ level0 \*arabic </w:instrText>
      </w:r>
      <w:r>
        <w:fldChar w:fldCharType="separate"/>
      </w:r>
      <w:r w:rsidR="00517F95">
        <w:rPr>
          <w:noProof/>
        </w:rPr>
        <w:t>24</w:t>
      </w:r>
      <w:r>
        <w:rPr>
          <w:noProof/>
        </w:rPr>
        <w:fldChar w:fldCharType="end"/>
      </w:r>
      <w:r w:rsidR="002D37DC">
        <w:t>.  </w:t>
      </w:r>
      <w:r w:rsidR="00491FF5" w:rsidRPr="00064917">
        <w:t xml:space="preserve">At 12.19 p.m. the duty solicitor was contacted and </w:t>
      </w:r>
      <w:r w:rsidR="002D37DC">
        <w:t xml:space="preserve">was </w:t>
      </w:r>
      <w:r w:rsidR="00491FF5" w:rsidRPr="00064917">
        <w:t>told that safet</w:t>
      </w:r>
      <w:r w:rsidR="00A76EF3">
        <w:t>y interviews were taking place.</w:t>
      </w:r>
    </w:p>
    <w:bookmarkStart w:id="13" w:name="aaa24omarcaution"/>
    <w:p w:rsidR="00FA5EE5" w:rsidRDefault="003D1B82" w:rsidP="00491FF5">
      <w:pPr>
        <w:pStyle w:val="JuPara"/>
      </w:pPr>
      <w:r>
        <w:fldChar w:fldCharType="begin"/>
      </w:r>
      <w:r>
        <w:instrText xml:space="preserve"> SEQ level0 \*arabic </w:instrText>
      </w:r>
      <w:r>
        <w:fldChar w:fldCharType="separate"/>
      </w:r>
      <w:r w:rsidR="00517F95">
        <w:rPr>
          <w:noProof/>
        </w:rPr>
        <w:t>25</w:t>
      </w:r>
      <w:r>
        <w:rPr>
          <w:noProof/>
        </w:rPr>
        <w:fldChar w:fldCharType="end"/>
      </w:r>
      <w:bookmarkEnd w:id="13"/>
      <w:r w:rsidR="00DA304D">
        <w:t>.  </w:t>
      </w:r>
      <w:r w:rsidR="00491FF5" w:rsidRPr="00064917">
        <w:t>At 12.31 p.m. safety interview C commenced. This time, Mr Omar was</w:t>
      </w:r>
      <w:r w:rsidR="003C634A">
        <w:t xml:space="preserve"> </w:t>
      </w:r>
      <w:r w:rsidR="00491FF5" w:rsidRPr="00064917">
        <w:t>given the new-style ca</w:t>
      </w:r>
      <w:r w:rsidR="00A76EF3">
        <w:t>ution. It finished at 1.17 p.m.</w:t>
      </w:r>
    </w:p>
    <w:bookmarkStart w:id="14" w:name="aaa26omarcaution"/>
    <w:p w:rsidR="00FA5EE5" w:rsidRDefault="003D1B82" w:rsidP="00491FF5">
      <w:pPr>
        <w:pStyle w:val="JuPara"/>
      </w:pPr>
      <w:r>
        <w:fldChar w:fldCharType="begin"/>
      </w:r>
      <w:r>
        <w:instrText xml:space="preserve"> SEQ level0 \*arabic </w:instrText>
      </w:r>
      <w:r>
        <w:fldChar w:fldCharType="separate"/>
      </w:r>
      <w:r w:rsidR="00517F95">
        <w:rPr>
          <w:noProof/>
        </w:rPr>
        <w:t>26</w:t>
      </w:r>
      <w:r>
        <w:rPr>
          <w:noProof/>
        </w:rPr>
        <w:fldChar w:fldCharType="end"/>
      </w:r>
      <w:bookmarkEnd w:id="14"/>
      <w:r w:rsidR="00DA304D">
        <w:t>.  </w:t>
      </w:r>
      <w:r w:rsidR="00491FF5" w:rsidRPr="00064917">
        <w:t>At 1.35</w:t>
      </w:r>
      <w:r w:rsidR="00491FF5">
        <w:t xml:space="preserve"> p.m. safety interview</w:t>
      </w:r>
      <w:r w:rsidR="002D37DC">
        <w:t xml:space="preserve"> </w:t>
      </w:r>
      <w:r w:rsidR="00491FF5">
        <w:t>D</w:t>
      </w:r>
      <w:r w:rsidR="002D37DC">
        <w:t xml:space="preserve"> </w:t>
      </w:r>
      <w:r w:rsidR="00491FF5" w:rsidRPr="00064917">
        <w:t>commenced,</w:t>
      </w:r>
      <w:r w:rsidR="00165ED8">
        <w:t xml:space="preserve"> </w:t>
      </w:r>
      <w:r w:rsidR="00491FF5" w:rsidRPr="00064917">
        <w:t>following the administration of the old-style caution</w:t>
      </w:r>
      <w:r w:rsidR="00FA5EE5">
        <w:t>. It was completed at 2.20 p.m.</w:t>
      </w:r>
    </w:p>
    <w:bookmarkStart w:id="15" w:name="OmarSIstatements"/>
    <w:p w:rsidR="000F0DC2" w:rsidRDefault="0082058A" w:rsidP="00491FF5">
      <w:pPr>
        <w:pStyle w:val="JuPara"/>
        <w:rPr>
          <w:b/>
        </w:rPr>
      </w:pPr>
      <w:r>
        <w:fldChar w:fldCharType="begin"/>
      </w:r>
      <w:r w:rsidR="00C04CCA">
        <w:instrText xml:space="preserve"> SEQ level0 \*arabic </w:instrText>
      </w:r>
      <w:r>
        <w:fldChar w:fldCharType="separate"/>
      </w:r>
      <w:r w:rsidR="00517F95">
        <w:rPr>
          <w:noProof/>
        </w:rPr>
        <w:t>27</w:t>
      </w:r>
      <w:r>
        <w:rPr>
          <w:noProof/>
        </w:rPr>
        <w:fldChar w:fldCharType="end"/>
      </w:r>
      <w:bookmarkEnd w:id="15"/>
      <w:r w:rsidR="00FA5EE5">
        <w:t>.</w:t>
      </w:r>
      <w:r w:rsidR="00661205">
        <w:t>  </w:t>
      </w:r>
      <w:r w:rsidR="00491FF5" w:rsidRPr="00064917">
        <w:t xml:space="preserve">During the safety interviews, Mr Omar either claimed that he did not recognise the other suspects from the photos in the media or he gave an incorrect account </w:t>
      </w:r>
      <w:r w:rsidR="00491FF5">
        <w:t>of how he knew some of them. He</w:t>
      </w:r>
      <w:r w:rsidR="00A76EF3">
        <w:t xml:space="preserve"> </w:t>
      </w:r>
      <w:r w:rsidR="00491FF5" w:rsidRPr="00064917">
        <w:t xml:space="preserve">deliberately </w:t>
      </w:r>
      <w:r w:rsidR="00FA5EE5">
        <w:t xml:space="preserve">incorrectly </w:t>
      </w:r>
      <w:r w:rsidR="00491FF5" w:rsidRPr="00064917">
        <w:t>described their involvement in the events of 21 July.</w:t>
      </w:r>
    </w:p>
    <w:p w:rsidR="00491FF5" w:rsidRPr="00064917" w:rsidRDefault="00555E80" w:rsidP="00491FF5">
      <w:pPr>
        <w:pStyle w:val="JuPara"/>
      </w:pPr>
      <w:r>
        <w:fldChar w:fldCharType="begin"/>
      </w:r>
      <w:r>
        <w:instrText xml:space="preserve"> SEQ level0 \*arabic </w:instrText>
      </w:r>
      <w:r>
        <w:fldChar w:fldCharType="separate"/>
      </w:r>
      <w:r w:rsidR="00517F95">
        <w:rPr>
          <w:noProof/>
        </w:rPr>
        <w:t>28</w:t>
      </w:r>
      <w:r>
        <w:rPr>
          <w:noProof/>
        </w:rPr>
        <w:fldChar w:fldCharType="end"/>
      </w:r>
      <w:r w:rsidR="009011CC">
        <w:t>.</w:t>
      </w:r>
      <w:r w:rsidR="00661205">
        <w:t>  </w:t>
      </w:r>
      <w:r w:rsidR="00491FF5" w:rsidRPr="00064917">
        <w:t>Meanwhile, at 2.15 p.m., the custody offic</w:t>
      </w:r>
      <w:r w:rsidR="00BE108F">
        <w:t>er contacted the duty solicitor</w:t>
      </w:r>
      <w:r w:rsidR="00491FF5" w:rsidRPr="00064917">
        <w:t>. At 3.40 p.m. the duty solicitor arrived at the custody suite and was permitted to read the custody record.</w:t>
      </w:r>
    </w:p>
    <w:bookmarkStart w:id="16" w:name="Omarconsultationwithsolicitor"/>
    <w:p w:rsidR="00491FF5" w:rsidRPr="00064917" w:rsidRDefault="0082058A" w:rsidP="00491FF5">
      <w:pPr>
        <w:pStyle w:val="JuPara"/>
      </w:pPr>
      <w:r>
        <w:fldChar w:fldCharType="begin"/>
      </w:r>
      <w:r w:rsidR="009011CC">
        <w:instrText xml:space="preserve"> SEQ level0 \*arabic </w:instrText>
      </w:r>
      <w:r>
        <w:fldChar w:fldCharType="separate"/>
      </w:r>
      <w:r w:rsidR="00517F95">
        <w:rPr>
          <w:noProof/>
        </w:rPr>
        <w:t>29</w:t>
      </w:r>
      <w:r>
        <w:fldChar w:fldCharType="end"/>
      </w:r>
      <w:bookmarkEnd w:id="16"/>
      <w:r w:rsidR="009011CC">
        <w:t>.</w:t>
      </w:r>
      <w:r w:rsidR="00661205">
        <w:t>  </w:t>
      </w:r>
      <w:r w:rsidR="00491FF5" w:rsidRPr="00064917">
        <w:t>At 4.08 p.m. Mr Omar was placed in a room for consultation with the duty solicitor. That consultation was interrupted at 4.15 p.m. for a further safety interview, which began at 4.19 p.m. and concluded at 4.21 p.m. and was conducted in the presence of the solicitor.</w:t>
      </w:r>
    </w:p>
    <w:p w:rsidR="00491FF5" w:rsidRPr="00064917" w:rsidRDefault="002D37DC" w:rsidP="002D37DC">
      <w:pPr>
        <w:pStyle w:val="ECHRHeading4"/>
      </w:pPr>
      <w:r>
        <w:t>(b</w:t>
      </w:r>
      <w:r w:rsidR="009011CC">
        <w:t>)</w:t>
      </w:r>
      <w:r w:rsidR="00661205">
        <w:t>  </w:t>
      </w:r>
      <w:r w:rsidR="00491FF5" w:rsidRPr="00064917">
        <w:t xml:space="preserve">The arrest and </w:t>
      </w:r>
      <w:r w:rsidR="00F1147F">
        <w:t>interview</w:t>
      </w:r>
      <w:r w:rsidR="00491FF5" w:rsidRPr="00064917">
        <w:t xml:space="preserve"> of Mr Ibrahim</w:t>
      </w:r>
    </w:p>
    <w:bookmarkStart w:id="17" w:name="aaa30ibrahimcaution"/>
    <w:p w:rsidR="00491FF5" w:rsidRDefault="003D1B82" w:rsidP="00491FF5">
      <w:pPr>
        <w:pStyle w:val="JuPara"/>
      </w:pPr>
      <w:r>
        <w:fldChar w:fldCharType="begin"/>
      </w:r>
      <w:r>
        <w:instrText xml:space="preserve"> SEQ level0 \*arabic </w:instrText>
      </w:r>
      <w:r>
        <w:fldChar w:fldCharType="separate"/>
      </w:r>
      <w:r w:rsidR="00517F95">
        <w:rPr>
          <w:noProof/>
        </w:rPr>
        <w:t>30</w:t>
      </w:r>
      <w:r>
        <w:rPr>
          <w:noProof/>
        </w:rPr>
        <w:fldChar w:fldCharType="end"/>
      </w:r>
      <w:bookmarkEnd w:id="17"/>
      <w:r w:rsidR="009011CC">
        <w:t>.</w:t>
      </w:r>
      <w:r w:rsidR="00661205">
        <w:t>  </w:t>
      </w:r>
      <w:r w:rsidR="009011CC">
        <w:t>The next</w:t>
      </w:r>
      <w:r w:rsidR="002D37DC">
        <w:t xml:space="preserve"> suspect</w:t>
      </w:r>
      <w:r w:rsidR="009011CC">
        <w:t xml:space="preserve"> to be arrested was Mr Ibrahim. He was </w:t>
      </w:r>
      <w:r w:rsidR="00491FF5" w:rsidRPr="00064917">
        <w:t>arrested on 29 July 2005 at 1.4</w:t>
      </w:r>
      <w:r w:rsidR="004934C8">
        <w:t>5</w:t>
      </w:r>
      <w:r w:rsidR="00A76EF3">
        <w:t xml:space="preserve"> </w:t>
      </w:r>
      <w:r w:rsidR="004934C8">
        <w:t>p.m. in a flat in W</w:t>
      </w:r>
      <w:r w:rsidR="009011CC">
        <w:t xml:space="preserve">est London. </w:t>
      </w:r>
      <w:r w:rsidR="00491FF5" w:rsidRPr="00064917">
        <w:t>He was cautioned and asked whether there was any material on the premises whi</w:t>
      </w:r>
      <w:r w:rsidR="003C634A">
        <w:t xml:space="preserve">ch might cause </w:t>
      </w:r>
      <w:r w:rsidR="003C634A">
        <w:lastRenderedPageBreak/>
        <w:t xml:space="preserve">danger. He </w:t>
      </w:r>
      <w:r w:rsidR="00491FF5" w:rsidRPr="00064917">
        <w:t xml:space="preserve">replied that there was not. He was </w:t>
      </w:r>
      <w:r w:rsidR="003C634A">
        <w:t xml:space="preserve">also </w:t>
      </w:r>
      <w:r w:rsidR="00491FF5" w:rsidRPr="00064917">
        <w:t>asked whether there was any material anywhere which the police should know about and he replied that the police already knew about “58 Curtis” (the premises where the explosive devices were believed to have been manufactured) because they had been there already. He identified the other man</w:t>
      </w:r>
      <w:r w:rsidR="00DA304D">
        <w:t xml:space="preserve"> </w:t>
      </w:r>
      <w:r w:rsidR="003C634A">
        <w:t xml:space="preserve">that </w:t>
      </w:r>
      <w:r w:rsidR="00DA304D">
        <w:t xml:space="preserve">the police had seen at the </w:t>
      </w:r>
      <w:r w:rsidR="002D37DC">
        <w:t xml:space="preserve">West London </w:t>
      </w:r>
      <w:r w:rsidR="00DA304D">
        <w:t>flat that day</w:t>
      </w:r>
      <w:r w:rsidR="00491FF5" w:rsidRPr="00064917">
        <w:t xml:space="preserve"> </w:t>
      </w:r>
      <w:r w:rsidR="00491FF5">
        <w:t>as Mr</w:t>
      </w:r>
      <w:r w:rsidR="00A76EF3">
        <w:t xml:space="preserve"> </w:t>
      </w:r>
      <w:r w:rsidR="00491FF5" w:rsidRPr="00064917">
        <w:t xml:space="preserve">Mohammed and was asked whether </w:t>
      </w:r>
      <w:r w:rsidR="00F1147F">
        <w:t>Mr Mohammed</w:t>
      </w:r>
      <w:r w:rsidR="00491FF5" w:rsidRPr="00064917">
        <w:t xml:space="preserve"> had control of any materials likely to cause danger. He replied, “No, listen, I</w:t>
      </w:r>
      <w:r w:rsidR="005E7B7A">
        <w:t>’</w:t>
      </w:r>
      <w:r w:rsidR="00491FF5" w:rsidRPr="00064917">
        <w:t>ve seen my photo and I was on the bus but I didn</w:t>
      </w:r>
      <w:r w:rsidR="005E7B7A">
        <w:t>’</w:t>
      </w:r>
      <w:r w:rsidR="00491FF5" w:rsidRPr="00064917">
        <w:t>t do anything, I was just on the bus”</w:t>
      </w:r>
      <w:r w:rsidR="00A76EF3">
        <w:t>.</w:t>
      </w:r>
      <w:r w:rsidR="00491FF5" w:rsidRPr="00064917">
        <w:t xml:space="preserve"> He was told that he would be interviewed about that later and that all the police wanted to know was whether there was anything at another location that was likely to cause dange</w:t>
      </w:r>
      <w:r w:rsidR="00F1147F">
        <w:t>r. Mr </w:t>
      </w:r>
      <w:r w:rsidR="00491FF5" w:rsidRPr="00064917">
        <w:t>Ibrahim indicated that he was aware that the police were trying to “link us to seven</w:t>
      </w:r>
      <w:r w:rsidR="004934C8">
        <w:t>-</w:t>
      </w:r>
      <w:r w:rsidR="00491FF5" w:rsidRPr="00064917">
        <w:t>seven</w:t>
      </w:r>
      <w:r w:rsidR="00491FF5">
        <w:t>” (referring to the events of 7</w:t>
      </w:r>
      <w:r w:rsidR="00A76EF3">
        <w:t xml:space="preserve"> </w:t>
      </w:r>
      <w:r w:rsidR="00491FF5" w:rsidRPr="00064917">
        <w:t>July</w:t>
      </w:r>
      <w:r w:rsidR="00561675">
        <w:t xml:space="preserve"> 2005</w:t>
      </w:r>
      <w:r w:rsidR="00491FF5" w:rsidRPr="00064917">
        <w:t>) and then said that he did “do the bus” but that he had had not</w:t>
      </w:r>
      <w:r w:rsidR="00561675">
        <w:t>hing to do with the events of 7 </w:t>
      </w:r>
      <w:r w:rsidR="00491FF5" w:rsidRPr="00064917">
        <w:t>July.</w:t>
      </w:r>
    </w:p>
    <w:p w:rsidR="00491FF5" w:rsidRDefault="00555E80" w:rsidP="00491FF5">
      <w:pPr>
        <w:pStyle w:val="JuPara"/>
      </w:pPr>
      <w:r>
        <w:fldChar w:fldCharType="begin"/>
      </w:r>
      <w:r>
        <w:instrText xml:space="preserve"> SEQ level0 \*arabic </w:instrText>
      </w:r>
      <w:r>
        <w:fldChar w:fldCharType="separate"/>
      </w:r>
      <w:r w:rsidR="00517F95">
        <w:rPr>
          <w:noProof/>
        </w:rPr>
        <w:t>31</w:t>
      </w:r>
      <w:r>
        <w:rPr>
          <w:noProof/>
        </w:rPr>
        <w:fldChar w:fldCharType="end"/>
      </w:r>
      <w:r w:rsidR="009011CC">
        <w:t>.</w:t>
      </w:r>
      <w:r w:rsidR="00661205">
        <w:t>  </w:t>
      </w:r>
      <w:r w:rsidR="00491FF5" w:rsidRPr="00064917">
        <w:t>Mr Ibrahim arrived at Paddington Green Police Station at 2.20</w:t>
      </w:r>
      <w:r w:rsidR="00A76EF3">
        <w:t xml:space="preserve"> </w:t>
      </w:r>
      <w:r w:rsidR="00491FF5" w:rsidRPr="00064917">
        <w:t>p.m. He requested the assistance of the duty solicitor.</w:t>
      </w:r>
    </w:p>
    <w:p w:rsidR="00491FF5" w:rsidRPr="00064917" w:rsidRDefault="00555E80" w:rsidP="00491FF5">
      <w:pPr>
        <w:pStyle w:val="JuPara"/>
      </w:pPr>
      <w:r>
        <w:fldChar w:fldCharType="begin"/>
      </w:r>
      <w:r>
        <w:instrText xml:space="preserve"> SEQ level0 \*arabic </w:instrText>
      </w:r>
      <w:r>
        <w:fldChar w:fldCharType="separate"/>
      </w:r>
      <w:r w:rsidR="00517F95">
        <w:rPr>
          <w:noProof/>
        </w:rPr>
        <w:t>32</w:t>
      </w:r>
      <w:r>
        <w:rPr>
          <w:noProof/>
        </w:rPr>
        <w:fldChar w:fldCharType="end"/>
      </w:r>
      <w:r w:rsidR="009011CC">
        <w:t>.</w:t>
      </w:r>
      <w:r w:rsidR="00661205">
        <w:t>  </w:t>
      </w:r>
      <w:r w:rsidR="00491FF5" w:rsidRPr="00064917">
        <w:t>At 4.20</w:t>
      </w:r>
      <w:r w:rsidR="00A76EF3">
        <w:t xml:space="preserve"> </w:t>
      </w:r>
      <w:r w:rsidR="00491FF5" w:rsidRPr="00064917">
        <w:t xml:space="preserve">p.m. he was reminded of his right to free legal advice and replied that he understood what had been said to him. The duty solicitor was </w:t>
      </w:r>
      <w:r w:rsidR="003C634A">
        <w:t>contacted at 4.42</w:t>
      </w:r>
      <w:r w:rsidR="00A76EF3">
        <w:t xml:space="preserve"> </w:t>
      </w:r>
      <w:r w:rsidR="003C634A">
        <w:t>p.m</w:t>
      </w:r>
      <w:r w:rsidR="00491FF5" w:rsidRPr="00064917">
        <w:t>. At 5</w:t>
      </w:r>
      <w:r w:rsidR="00A76EF3">
        <w:t xml:space="preserve"> </w:t>
      </w:r>
      <w:r w:rsidR="00491FF5" w:rsidRPr="00064917">
        <w:t xml:space="preserve">p.m. </w:t>
      </w:r>
      <w:r w:rsidR="003C634A">
        <w:t>he</w:t>
      </w:r>
      <w:r w:rsidR="00491FF5" w:rsidRPr="00064917">
        <w:t xml:space="preserve"> called the police station and asked to speak to Mr Ibrahim. </w:t>
      </w:r>
      <w:r w:rsidR="00862DA4">
        <w:t>He was</w:t>
      </w:r>
      <w:r w:rsidR="00491FF5" w:rsidRPr="00064917">
        <w:t xml:space="preserve"> told that </w:t>
      </w:r>
      <w:r w:rsidR="00453CED">
        <w:t>Mr Ibrahim</w:t>
      </w:r>
      <w:r w:rsidR="00491FF5" w:rsidRPr="00064917">
        <w:t xml:space="preserve"> was unavailable. The</w:t>
      </w:r>
      <w:r w:rsidR="00DA304D">
        <w:t xml:space="preserve"> soli</w:t>
      </w:r>
      <w:r w:rsidR="00862DA4">
        <w:t>citor</w:t>
      </w:r>
      <w:r w:rsidR="00491FF5" w:rsidRPr="00064917">
        <w:t xml:space="preserve"> called again at 5.40</w:t>
      </w:r>
      <w:r w:rsidR="00A76EF3">
        <w:t xml:space="preserve"> </w:t>
      </w:r>
      <w:r w:rsidR="00491FF5" w:rsidRPr="00064917">
        <w:t>p.m. and w</w:t>
      </w:r>
      <w:r w:rsidR="00862DA4">
        <w:t>as</w:t>
      </w:r>
      <w:r w:rsidR="00491FF5" w:rsidRPr="00064917">
        <w:t xml:space="preserve"> told that </w:t>
      </w:r>
      <w:r w:rsidR="00862DA4">
        <w:t>his</w:t>
      </w:r>
      <w:r w:rsidR="00491FF5" w:rsidRPr="00064917">
        <w:t xml:space="preserve"> details would be passed to the officer in charge of the investigation</w:t>
      </w:r>
      <w:r w:rsidR="00862DA4">
        <w:t>, but that</w:t>
      </w:r>
      <w:r w:rsidR="00491FF5" w:rsidRPr="00064917">
        <w:t xml:space="preserve"> telephone contact was impractical because the appropriate consultation rooms were unavailable.</w:t>
      </w:r>
    </w:p>
    <w:bookmarkStart w:id="18" w:name="IbrahimreasonsforSI"/>
    <w:p w:rsidR="00491FF5" w:rsidRDefault="0082058A" w:rsidP="00491FF5">
      <w:pPr>
        <w:pStyle w:val="JuPara"/>
      </w:pPr>
      <w:r>
        <w:fldChar w:fldCharType="begin"/>
      </w:r>
      <w:r w:rsidR="009011CC">
        <w:instrText xml:space="preserve"> SEQ level0 \*arabic </w:instrText>
      </w:r>
      <w:r>
        <w:fldChar w:fldCharType="separate"/>
      </w:r>
      <w:r w:rsidR="00517F95">
        <w:rPr>
          <w:noProof/>
        </w:rPr>
        <w:t>33</w:t>
      </w:r>
      <w:r>
        <w:fldChar w:fldCharType="end"/>
      </w:r>
      <w:bookmarkEnd w:id="18"/>
      <w:r w:rsidR="009011CC">
        <w:t>.</w:t>
      </w:r>
      <w:r w:rsidR="00661205">
        <w:t>  </w:t>
      </w:r>
      <w:r w:rsidR="00491FF5" w:rsidRPr="00064917">
        <w:t>At 6.10</w:t>
      </w:r>
      <w:r w:rsidR="00A76EF3">
        <w:t xml:space="preserve"> </w:t>
      </w:r>
      <w:r w:rsidR="00491FF5" w:rsidRPr="00064917">
        <w:t xml:space="preserve">p.m. a superintendent ordered an urgent </w:t>
      </w:r>
      <w:r w:rsidR="007446E6">
        <w:t xml:space="preserve">safety </w:t>
      </w:r>
      <w:r w:rsidR="00491FF5" w:rsidRPr="00064917">
        <w:t xml:space="preserve">interview and directed that Mr Ibrahim be held incommunicado. The custody record explained that his right to access to legal advice </w:t>
      </w:r>
      <w:r w:rsidR="00DE4C7A">
        <w:t>had been</w:t>
      </w:r>
      <w:r w:rsidR="00491FF5" w:rsidRPr="00064917">
        <w:t xml:space="preserve"> delayed because there were reasonable grounds for believing that delaying an interview would involve immediate risk of harm to persons or serious loss of, or damage to, property; and that it would lead to the alerting of other persons suspected of committing a terrorist offence but not yet arrested, which would make it more difficult to prevent an act of terrorism or secure the apprehension, prosecution or conviction of a person in connection with terrorism offences. The record referred to the suspicion that Mr Ibrahim had detonated an explosive device on 21 July 2005 as part of an organised attack intended to kill and injure members of the public.</w:t>
      </w:r>
    </w:p>
    <w:bookmarkStart w:id="19" w:name="Ibrahimsolcall1"/>
    <w:p w:rsidR="00491FF5" w:rsidRPr="00064917" w:rsidRDefault="0082058A" w:rsidP="00491FF5">
      <w:pPr>
        <w:pStyle w:val="JuPara"/>
      </w:pPr>
      <w:r>
        <w:fldChar w:fldCharType="begin"/>
      </w:r>
      <w:r w:rsidR="00C04CCA">
        <w:instrText xml:space="preserve"> SEQ level0 \*arabic </w:instrText>
      </w:r>
      <w:r>
        <w:fldChar w:fldCharType="separate"/>
      </w:r>
      <w:r w:rsidR="00517F95">
        <w:rPr>
          <w:noProof/>
        </w:rPr>
        <w:t>34</w:t>
      </w:r>
      <w:r>
        <w:rPr>
          <w:noProof/>
        </w:rPr>
        <w:fldChar w:fldCharType="end"/>
      </w:r>
      <w:bookmarkEnd w:id="19"/>
      <w:r w:rsidR="009011CC">
        <w:t>.</w:t>
      </w:r>
      <w:r w:rsidR="00661205">
        <w:t>  </w:t>
      </w:r>
      <w:r w:rsidR="00491FF5" w:rsidRPr="00064917">
        <w:t>At 7</w:t>
      </w:r>
      <w:r w:rsidR="00A76EF3">
        <w:t xml:space="preserve"> </w:t>
      </w:r>
      <w:r w:rsidR="00491FF5" w:rsidRPr="00064917">
        <w:t>p.m. a different solicitor called the police station and asked to speak to Mr Ibrahim. She was told that no-one of that name was held at the police station. At 7.45 p.m., when it was established that Mr Ibrahim was at the police station, she was told that he was already represented by the duty solicitor.</w:t>
      </w:r>
    </w:p>
    <w:bookmarkStart w:id="20" w:name="Ibrahimsolcall2"/>
    <w:p w:rsidR="00491FF5" w:rsidRPr="00064917" w:rsidRDefault="0082058A" w:rsidP="00491FF5">
      <w:pPr>
        <w:pStyle w:val="JuPara"/>
      </w:pPr>
      <w:r>
        <w:fldChar w:fldCharType="begin"/>
      </w:r>
      <w:r w:rsidR="00C04CCA">
        <w:instrText xml:space="preserve"> SEQ level0 \*arabic </w:instrText>
      </w:r>
      <w:r>
        <w:fldChar w:fldCharType="separate"/>
      </w:r>
      <w:r w:rsidR="00517F95">
        <w:rPr>
          <w:noProof/>
        </w:rPr>
        <w:t>35</w:t>
      </w:r>
      <w:r>
        <w:rPr>
          <w:noProof/>
        </w:rPr>
        <w:fldChar w:fldCharType="end"/>
      </w:r>
      <w:bookmarkEnd w:id="20"/>
      <w:r w:rsidR="009011CC">
        <w:t>.</w:t>
      </w:r>
      <w:r w:rsidR="00661205">
        <w:t>  </w:t>
      </w:r>
      <w:r w:rsidR="00491FF5" w:rsidRPr="00064917">
        <w:t>At 7.58</w:t>
      </w:r>
      <w:r w:rsidR="00A76EF3">
        <w:t xml:space="preserve"> </w:t>
      </w:r>
      <w:r w:rsidR="00491FF5" w:rsidRPr="00064917">
        <w:t>p.m. Mr Ibrahim was taken from his cell for a safety interview. At 8</w:t>
      </w:r>
      <w:r w:rsidR="00A76EF3">
        <w:t xml:space="preserve"> </w:t>
      </w:r>
      <w:r w:rsidR="00491FF5" w:rsidRPr="00064917">
        <w:t xml:space="preserve">p.m. the second solicitor contacted the custody officer. At </w:t>
      </w:r>
      <w:r w:rsidR="00491FF5" w:rsidRPr="00064917">
        <w:lastRenderedPageBreak/>
        <w:t>8.15 p.m., while Mr Ibrahim was being interviewed, the second solicitor called again seeking to speak to him.</w:t>
      </w:r>
    </w:p>
    <w:bookmarkStart w:id="21" w:name="aaa36ibrahimcaution"/>
    <w:p w:rsidR="00491FF5" w:rsidRDefault="003D1B82" w:rsidP="00491FF5">
      <w:pPr>
        <w:pStyle w:val="JuPara"/>
      </w:pPr>
      <w:r>
        <w:fldChar w:fldCharType="begin"/>
      </w:r>
      <w:r>
        <w:instrText xml:space="preserve"> SEQ level0 \*arabic </w:instrText>
      </w:r>
      <w:r>
        <w:fldChar w:fldCharType="separate"/>
      </w:r>
      <w:r w:rsidR="00517F95">
        <w:rPr>
          <w:noProof/>
        </w:rPr>
        <w:t>36</w:t>
      </w:r>
      <w:r>
        <w:rPr>
          <w:noProof/>
        </w:rPr>
        <w:fldChar w:fldCharType="end"/>
      </w:r>
      <w:bookmarkEnd w:id="21"/>
      <w:r w:rsidR="009011CC">
        <w:t>.</w:t>
      </w:r>
      <w:r w:rsidR="00661205">
        <w:t>  </w:t>
      </w:r>
      <w:r w:rsidR="00AC3720">
        <w:t>At the beginning of the safety interview Mr Ibrahim</w:t>
      </w:r>
      <w:r w:rsidR="00491FF5" w:rsidRPr="00064917">
        <w:t xml:space="preserve"> was told:</w:t>
      </w:r>
    </w:p>
    <w:p w:rsidR="00560D3E" w:rsidRDefault="00491FF5" w:rsidP="001409B0">
      <w:pPr>
        <w:pStyle w:val="ECHRParaQuote"/>
      </w:pPr>
      <w:r w:rsidRPr="00064917">
        <w:t>“</w:t>
      </w:r>
      <w:r>
        <w:t>...</w:t>
      </w:r>
      <w:r w:rsidRPr="00064917">
        <w:t>[</w:t>
      </w:r>
      <w:r w:rsidR="00B01502">
        <w:t>I]</w:t>
      </w:r>
      <w:r w:rsidRPr="00064917">
        <w:t xml:space="preserve"> am going to ask you some questions, you don</w:t>
      </w:r>
      <w:r w:rsidR="005E7B7A">
        <w:t>’</w:t>
      </w:r>
      <w:r w:rsidRPr="00064917">
        <w:t>t have to say anything if you don</w:t>
      </w:r>
      <w:r w:rsidR="005E7B7A">
        <w:t>’</w:t>
      </w:r>
      <w:r w:rsidRPr="00064917">
        <w:t>t want to but the court can draw what</w:t>
      </w:r>
      <w:r w:rsidR="005E7B7A">
        <w:t>’</w:t>
      </w:r>
      <w:r w:rsidRPr="00064917">
        <w:t>s called an inference from that and that just means that they can look upon your silence as perhaps a sign of guilt. And then what is be</w:t>
      </w:r>
      <w:r w:rsidR="00AC3720">
        <w:t>ing said here, it is being tape-</w:t>
      </w:r>
      <w:r w:rsidRPr="00064917">
        <w:t>recorded and it can be used in court.”</w:t>
      </w:r>
    </w:p>
    <w:p w:rsidR="00491FF5" w:rsidRPr="001409B0" w:rsidRDefault="00AC3720" w:rsidP="00E942F5">
      <w:pPr>
        <w:pStyle w:val="JuPara"/>
        <w:rPr>
          <w:rStyle w:val="JuParaCar"/>
        </w:rPr>
      </w:pPr>
      <w:r w:rsidRPr="001409B0">
        <w:rPr>
          <w:rStyle w:val="JuParaCar"/>
        </w:rPr>
        <w:t xml:space="preserve">This was, in effect, the new-style caution </w:t>
      </w:r>
      <w:r w:rsidR="00815064">
        <w:rPr>
          <w:rStyle w:val="JuParaCar"/>
        </w:rPr>
        <w:t xml:space="preserve">(see paragraph </w:t>
      </w:r>
      <w:r w:rsidR="0082058A">
        <w:rPr>
          <w:rStyle w:val="JuParaCar"/>
        </w:rPr>
        <w:fldChar w:fldCharType="begin"/>
      </w:r>
      <w:r w:rsidR="00815064">
        <w:rPr>
          <w:rStyle w:val="JuParaCar"/>
        </w:rPr>
        <w:instrText xml:space="preserve"> REF wordingofnewstylecaution \h </w:instrText>
      </w:r>
      <w:r w:rsidR="0082058A">
        <w:rPr>
          <w:rStyle w:val="JuParaCar"/>
        </w:rPr>
      </w:r>
      <w:r w:rsidR="0082058A">
        <w:rPr>
          <w:rStyle w:val="JuParaCar"/>
        </w:rPr>
        <w:fldChar w:fldCharType="separate"/>
      </w:r>
      <w:r w:rsidR="00517F95">
        <w:rPr>
          <w:noProof/>
        </w:rPr>
        <w:t>137</w:t>
      </w:r>
      <w:r w:rsidR="0082058A">
        <w:rPr>
          <w:rStyle w:val="JuParaCar"/>
        </w:rPr>
        <w:fldChar w:fldCharType="end"/>
      </w:r>
      <w:r w:rsidR="00815064">
        <w:rPr>
          <w:rStyle w:val="JuParaCar"/>
        </w:rPr>
        <w:t xml:space="preserve"> </w:t>
      </w:r>
      <w:r w:rsidR="00A76EF3">
        <w:rPr>
          <w:rStyle w:val="JuParaCar"/>
        </w:rPr>
        <w:t>below).</w:t>
      </w:r>
    </w:p>
    <w:p w:rsidR="00491FF5" w:rsidRPr="00064917" w:rsidRDefault="00555E80" w:rsidP="00491FF5">
      <w:pPr>
        <w:pStyle w:val="JuPara"/>
      </w:pPr>
      <w:r>
        <w:fldChar w:fldCharType="begin"/>
      </w:r>
      <w:r>
        <w:instrText xml:space="preserve"> SEQ level0 \*arabic </w:instrText>
      </w:r>
      <w:r>
        <w:fldChar w:fldCharType="separate"/>
      </w:r>
      <w:r w:rsidR="00517F95">
        <w:rPr>
          <w:noProof/>
        </w:rPr>
        <w:t>37</w:t>
      </w:r>
      <w:r>
        <w:rPr>
          <w:noProof/>
        </w:rPr>
        <w:fldChar w:fldCharType="end"/>
      </w:r>
      <w:r w:rsidR="009011CC">
        <w:t>.</w:t>
      </w:r>
      <w:r w:rsidR="00661205">
        <w:t>  </w:t>
      </w:r>
      <w:r w:rsidR="00491FF5" w:rsidRPr="00064917">
        <w:t>During the safety interview, Mr Ibrahim was asked whether he had any materials such as explosives or chemicals stored anywhere. He denied knowing where any such materials might be stored or having any knowledge of planned attacks which might endanger the public. He told the police that he did not know anything about explosives and that he had no link</w:t>
      </w:r>
      <w:r w:rsidR="00B01502">
        <w:t>s</w:t>
      </w:r>
      <w:r w:rsidR="00491FF5" w:rsidRPr="00064917">
        <w:t xml:space="preserve"> with any terrorist groups. He added that he did not know anyone who dealt with explosives, was a danger to society or was planning terrorist activities. </w:t>
      </w:r>
      <w:r w:rsidR="00815064">
        <w:t xml:space="preserve">He accepted </w:t>
      </w:r>
      <w:r w:rsidR="002D37DC">
        <w:t xml:space="preserve">that </w:t>
      </w:r>
      <w:r w:rsidR="00815064">
        <w:t xml:space="preserve">he knew Mr Omar, but </w:t>
      </w:r>
      <w:r w:rsidR="00491FF5" w:rsidRPr="00064917">
        <w:t>d</w:t>
      </w:r>
      <w:r w:rsidR="00815064">
        <w:t xml:space="preserve">enied knowing other men connected with the events of 21 July whose pictures </w:t>
      </w:r>
      <w:r w:rsidR="00E942F5">
        <w:t xml:space="preserve">had been </w:t>
      </w:r>
      <w:r w:rsidR="00491FF5" w:rsidRPr="00064917">
        <w:t>shown on television. He was unaware of anyone he knew having been involved in these events. He said that Mr Mohammed was not someone who would be prepared to do anything like that. The safety interview ended at 8.35</w:t>
      </w:r>
      <w:r w:rsidR="00A76EF3">
        <w:t xml:space="preserve"> </w:t>
      </w:r>
      <w:r w:rsidR="00491FF5" w:rsidRPr="00064917">
        <w:t>p.m.</w:t>
      </w:r>
    </w:p>
    <w:p w:rsidR="00491FF5" w:rsidRDefault="00555E80" w:rsidP="00491FF5">
      <w:pPr>
        <w:pStyle w:val="JuPara"/>
      </w:pPr>
      <w:r>
        <w:fldChar w:fldCharType="begin"/>
      </w:r>
      <w:r>
        <w:instrText xml:space="preserve"> SEQ level0 \*arabic </w:instrText>
      </w:r>
      <w:r>
        <w:fldChar w:fldCharType="separate"/>
      </w:r>
      <w:r w:rsidR="00517F95">
        <w:rPr>
          <w:noProof/>
        </w:rPr>
        <w:t>38</w:t>
      </w:r>
      <w:r>
        <w:rPr>
          <w:noProof/>
        </w:rPr>
        <w:fldChar w:fldCharType="end"/>
      </w:r>
      <w:r w:rsidR="009011CC">
        <w:t>.</w:t>
      </w:r>
      <w:r w:rsidR="00661205">
        <w:t>  </w:t>
      </w:r>
      <w:r w:rsidR="00491FF5" w:rsidRPr="00064917">
        <w:t>At 8.45</w:t>
      </w:r>
      <w:r w:rsidR="00A76EF3">
        <w:t xml:space="preserve"> </w:t>
      </w:r>
      <w:r w:rsidR="00491FF5" w:rsidRPr="00064917">
        <w:t>p.m. the duty solicitor ar</w:t>
      </w:r>
      <w:r w:rsidR="00491FF5">
        <w:t>rived at the police station. Mr </w:t>
      </w:r>
      <w:r w:rsidR="00491FF5" w:rsidRPr="00064917">
        <w:t>Ibrahim was sleeping and saw the solicitor at 10.05</w:t>
      </w:r>
      <w:r w:rsidR="00A76EF3">
        <w:t xml:space="preserve"> </w:t>
      </w:r>
      <w:r w:rsidR="00491FF5" w:rsidRPr="00064917">
        <w:t>p.m.</w:t>
      </w:r>
    </w:p>
    <w:p w:rsidR="00491FF5" w:rsidRPr="00064917" w:rsidRDefault="00555E80" w:rsidP="00491FF5">
      <w:pPr>
        <w:pStyle w:val="JuPara"/>
      </w:pPr>
      <w:r>
        <w:fldChar w:fldCharType="begin"/>
      </w:r>
      <w:r>
        <w:instrText xml:space="preserve"> SEQ level0 \*arabic </w:instrText>
      </w:r>
      <w:r>
        <w:fldChar w:fldCharType="separate"/>
      </w:r>
      <w:r w:rsidR="00517F95">
        <w:rPr>
          <w:noProof/>
        </w:rPr>
        <w:t>39</w:t>
      </w:r>
      <w:r>
        <w:rPr>
          <w:noProof/>
        </w:rPr>
        <w:fldChar w:fldCharType="end"/>
      </w:r>
      <w:r w:rsidR="009011CC">
        <w:t>.</w:t>
      </w:r>
      <w:r w:rsidR="00661205">
        <w:t>  </w:t>
      </w:r>
      <w:r w:rsidR="00491FF5" w:rsidRPr="00064917">
        <w:t xml:space="preserve">During subsequent interviews while Mr Ibrahim was in detention, </w:t>
      </w:r>
      <w:r w:rsidR="00F1147F">
        <w:t xml:space="preserve">which were conducted in the presence of a solicitor, </w:t>
      </w:r>
      <w:r w:rsidR="00491FF5" w:rsidRPr="00064917">
        <w:t>he made no comment.</w:t>
      </w:r>
    </w:p>
    <w:p w:rsidR="00491FF5" w:rsidRPr="00064917" w:rsidRDefault="002D37DC" w:rsidP="002D37DC">
      <w:pPr>
        <w:pStyle w:val="ECHRHeading4"/>
      </w:pPr>
      <w:r>
        <w:t>(c</w:t>
      </w:r>
      <w:r w:rsidR="009011CC">
        <w:t>)</w:t>
      </w:r>
      <w:r w:rsidR="00661205">
        <w:t>  </w:t>
      </w:r>
      <w:r w:rsidR="00491FF5" w:rsidRPr="00064917">
        <w:t xml:space="preserve">The arrest and </w:t>
      </w:r>
      <w:r w:rsidR="00A85AA7">
        <w:t>interview</w:t>
      </w:r>
      <w:r w:rsidR="00491FF5" w:rsidRPr="00064917">
        <w:t xml:space="preserve"> of Mr Mohammed</w:t>
      </w:r>
    </w:p>
    <w:bookmarkStart w:id="22" w:name="aaa40mohammedcaution"/>
    <w:p w:rsidR="00491FF5" w:rsidRDefault="003D1B82" w:rsidP="00491FF5">
      <w:pPr>
        <w:pStyle w:val="JuPara"/>
      </w:pPr>
      <w:r>
        <w:fldChar w:fldCharType="begin"/>
      </w:r>
      <w:r>
        <w:instrText xml:space="preserve"> SEQ level0 \*arabic </w:instrText>
      </w:r>
      <w:r>
        <w:fldChar w:fldCharType="separate"/>
      </w:r>
      <w:r w:rsidR="00517F95">
        <w:rPr>
          <w:noProof/>
        </w:rPr>
        <w:t>40</w:t>
      </w:r>
      <w:r>
        <w:rPr>
          <w:noProof/>
        </w:rPr>
        <w:fldChar w:fldCharType="end"/>
      </w:r>
      <w:bookmarkEnd w:id="22"/>
      <w:r w:rsidR="009011CC">
        <w:t>.</w:t>
      </w:r>
      <w:r w:rsidR="00661205">
        <w:t>  </w:t>
      </w:r>
      <w:r w:rsidR="009011CC">
        <w:t>The last of the three</w:t>
      </w:r>
      <w:r w:rsidR="002D37DC">
        <w:t xml:space="preserve"> suspects</w:t>
      </w:r>
      <w:r w:rsidR="009011CC">
        <w:t xml:space="preserve"> to be arrested was </w:t>
      </w:r>
      <w:r w:rsidR="00491FF5" w:rsidRPr="00064917">
        <w:t>Mr Mohammed</w:t>
      </w:r>
      <w:r w:rsidR="009011CC">
        <w:t xml:space="preserve">. He </w:t>
      </w:r>
      <w:r w:rsidR="00491FF5" w:rsidRPr="00064917">
        <w:t>was arrested and cautioned on 29 July 2005 at 3.2</w:t>
      </w:r>
      <w:r w:rsidR="00F1147F">
        <w:t>2</w:t>
      </w:r>
      <w:r w:rsidR="00A76EF3">
        <w:t xml:space="preserve"> </w:t>
      </w:r>
      <w:r w:rsidR="00F1147F">
        <w:t>p.m. at the same</w:t>
      </w:r>
      <w:r w:rsidR="00F85D13">
        <w:t xml:space="preserve"> </w:t>
      </w:r>
      <w:r w:rsidR="002D37DC">
        <w:t xml:space="preserve">West London </w:t>
      </w:r>
      <w:r w:rsidR="00F85D13">
        <w:t xml:space="preserve">flat </w:t>
      </w:r>
      <w:r w:rsidR="00F1147F">
        <w:t>as Mr Ibrahim</w:t>
      </w:r>
      <w:r w:rsidR="009011CC">
        <w:t>.</w:t>
      </w:r>
    </w:p>
    <w:p w:rsidR="00491FF5" w:rsidRDefault="00555E80" w:rsidP="00491FF5">
      <w:pPr>
        <w:pStyle w:val="JuPara"/>
      </w:pPr>
      <w:r>
        <w:fldChar w:fldCharType="begin"/>
      </w:r>
      <w:r>
        <w:instrText xml:space="preserve"> SEQ </w:instrText>
      </w:r>
      <w:r>
        <w:instrText xml:space="preserve">level0 \*arabic </w:instrText>
      </w:r>
      <w:r>
        <w:fldChar w:fldCharType="separate"/>
      </w:r>
      <w:r w:rsidR="00517F95">
        <w:rPr>
          <w:noProof/>
        </w:rPr>
        <w:t>41</w:t>
      </w:r>
      <w:r>
        <w:rPr>
          <w:noProof/>
        </w:rPr>
        <w:fldChar w:fldCharType="end"/>
      </w:r>
      <w:r w:rsidR="009011CC">
        <w:t>.</w:t>
      </w:r>
      <w:r w:rsidR="00661205">
        <w:t>  </w:t>
      </w:r>
      <w:r w:rsidR="009011CC">
        <w:t>He</w:t>
      </w:r>
      <w:r w:rsidR="00491FF5" w:rsidRPr="00064917">
        <w:t xml:space="preserve"> arrived at Paddington Green Poli</w:t>
      </w:r>
      <w:r w:rsidR="00F1147F">
        <w:t>ce Station at 4.29</w:t>
      </w:r>
      <w:r w:rsidR="00A76EF3">
        <w:t xml:space="preserve"> </w:t>
      </w:r>
      <w:r w:rsidR="00F1147F">
        <w:t>p.m. At 4.39 </w:t>
      </w:r>
      <w:r w:rsidR="00E942F5">
        <w:t>p.m.</w:t>
      </w:r>
      <w:r w:rsidR="00491FF5" w:rsidRPr="00064917">
        <w:t xml:space="preserve"> he requested the assis</w:t>
      </w:r>
      <w:r w:rsidR="00491FF5">
        <w:t>tance of the duty solicitor. At</w:t>
      </w:r>
      <w:r w:rsidR="00A76EF3">
        <w:t xml:space="preserve"> </w:t>
      </w:r>
      <w:r w:rsidR="00491FF5" w:rsidRPr="00064917">
        <w:t>5.05 p.m. the custody officer asked the relevant of</w:t>
      </w:r>
      <w:r w:rsidR="007446E6">
        <w:t>ficers to inform him whether Mr </w:t>
      </w:r>
      <w:r w:rsidR="00491FF5" w:rsidRPr="00064917">
        <w:t>Mohammed was to be held incommunicado and at 5.48 p.m. this was authorised.</w:t>
      </w:r>
    </w:p>
    <w:bookmarkStart w:id="23" w:name="MohammedreasonsforSI"/>
    <w:p w:rsidR="00491FF5" w:rsidRDefault="0082058A" w:rsidP="00491FF5">
      <w:pPr>
        <w:pStyle w:val="JuPara"/>
      </w:pPr>
      <w:r>
        <w:fldChar w:fldCharType="begin"/>
      </w:r>
      <w:r w:rsidR="009011CC">
        <w:instrText xml:space="preserve"> SEQ level0 \*arabic </w:instrText>
      </w:r>
      <w:r>
        <w:fldChar w:fldCharType="separate"/>
      </w:r>
      <w:r w:rsidR="00517F95">
        <w:rPr>
          <w:noProof/>
        </w:rPr>
        <w:t>42</w:t>
      </w:r>
      <w:r>
        <w:fldChar w:fldCharType="end"/>
      </w:r>
      <w:bookmarkEnd w:id="23"/>
      <w:r w:rsidR="009011CC">
        <w:t>.</w:t>
      </w:r>
      <w:r w:rsidR="00661205">
        <w:t>  </w:t>
      </w:r>
      <w:r w:rsidR="00491FF5" w:rsidRPr="00064917">
        <w:t>Simultaneously</w:t>
      </w:r>
      <w:r w:rsidR="00F1147F">
        <w:t>,</w:t>
      </w:r>
      <w:r w:rsidR="00491FF5" w:rsidRPr="00064917">
        <w:t xml:space="preserve"> a superintendent authorised a safety interview. The reasons for delaying access to legal advice were record</w:t>
      </w:r>
      <w:r w:rsidR="00F1147F">
        <w:t>ed.</w:t>
      </w:r>
      <w:r w:rsidR="00E942F5">
        <w:t xml:space="preserve"> </w:t>
      </w:r>
      <w:r w:rsidR="00491FF5" w:rsidRPr="00064917">
        <w:t>The superintendent indicated that he believed that delaying an interview would involve immediate risk of harm to persons or serious loss of, or damage to, property; that it would lead to others suspected of having committed offences but not yet arrested being alerted; and that by alerting any other person it would be more difficult to prevent an act of terrorism or to secure the apprehension, prosecution or conviction of a person in connection with the commission, preparation or instigation of an act of terrorism.</w:t>
      </w:r>
    </w:p>
    <w:p w:rsidR="00491FF5" w:rsidRDefault="00555E80" w:rsidP="00491FF5">
      <w:pPr>
        <w:pStyle w:val="JuPara"/>
      </w:pPr>
      <w:r>
        <w:lastRenderedPageBreak/>
        <w:fldChar w:fldCharType="begin"/>
      </w:r>
      <w:r>
        <w:instrText xml:space="preserve"> SEQ level0 \*arabic </w:instrText>
      </w:r>
      <w:r>
        <w:fldChar w:fldCharType="separate"/>
      </w:r>
      <w:r w:rsidR="00517F95">
        <w:rPr>
          <w:noProof/>
        </w:rPr>
        <w:t>43</w:t>
      </w:r>
      <w:r>
        <w:rPr>
          <w:noProof/>
        </w:rPr>
        <w:fldChar w:fldCharType="end"/>
      </w:r>
      <w:r w:rsidR="009011CC">
        <w:t>.</w:t>
      </w:r>
      <w:r w:rsidR="00661205">
        <w:t>  </w:t>
      </w:r>
      <w:r w:rsidR="00491FF5" w:rsidRPr="00064917">
        <w:t>At 6.59 p.m. the custody officer called the duty solicitor scheme. At 7.19 p.m. Mr Mohammed signed the custody record indicating that he wished to speak to a solicitor as soon as practicable. At 7.34 p.m. he was told that he was being held incommunicado.</w:t>
      </w:r>
    </w:p>
    <w:p w:rsidR="00491FF5" w:rsidRPr="00064917" w:rsidRDefault="00555E80" w:rsidP="00491FF5">
      <w:pPr>
        <w:pStyle w:val="JuPara"/>
      </w:pPr>
      <w:r>
        <w:fldChar w:fldCharType="begin"/>
      </w:r>
      <w:r>
        <w:instrText xml:space="preserve"> SEQ level0</w:instrText>
      </w:r>
      <w:r>
        <w:instrText xml:space="preserve"> \*arabic </w:instrText>
      </w:r>
      <w:r>
        <w:fldChar w:fldCharType="separate"/>
      </w:r>
      <w:r w:rsidR="00517F95">
        <w:rPr>
          <w:noProof/>
        </w:rPr>
        <w:t>44</w:t>
      </w:r>
      <w:r>
        <w:rPr>
          <w:noProof/>
        </w:rPr>
        <w:fldChar w:fldCharType="end"/>
      </w:r>
      <w:r w:rsidR="009011CC">
        <w:t>.</w:t>
      </w:r>
      <w:r w:rsidR="00661205">
        <w:t>  </w:t>
      </w:r>
      <w:r w:rsidR="00491FF5" w:rsidRPr="00064917">
        <w:t>At about 8 p.m. duty solicitors arrived at the front desk of Paddington Green Police Station.</w:t>
      </w:r>
    </w:p>
    <w:bookmarkStart w:id="24" w:name="aaa45mohammedcaution"/>
    <w:p w:rsidR="00491FF5" w:rsidRPr="00064917" w:rsidRDefault="003D1B82" w:rsidP="00491FF5">
      <w:pPr>
        <w:pStyle w:val="JuPara"/>
      </w:pPr>
      <w:r>
        <w:fldChar w:fldCharType="begin"/>
      </w:r>
      <w:r>
        <w:instrText xml:space="preserve"> SEQ level0 \*arabic </w:instrText>
      </w:r>
      <w:r>
        <w:fldChar w:fldCharType="separate"/>
      </w:r>
      <w:r w:rsidR="00517F95">
        <w:rPr>
          <w:noProof/>
        </w:rPr>
        <w:t>45</w:t>
      </w:r>
      <w:r>
        <w:rPr>
          <w:noProof/>
        </w:rPr>
        <w:fldChar w:fldCharType="end"/>
      </w:r>
      <w:bookmarkEnd w:id="24"/>
      <w:r w:rsidR="009011CC">
        <w:t>.</w:t>
      </w:r>
      <w:r w:rsidR="00661205">
        <w:t>  </w:t>
      </w:r>
      <w:r w:rsidR="00491FF5" w:rsidRPr="00064917">
        <w:t>At 8.14 p.m. the safety interview of Mr Mohammed comme</w:t>
      </w:r>
      <w:r w:rsidR="00491FF5">
        <w:t>nced</w:t>
      </w:r>
      <w:r w:rsidR="00550E94">
        <w:t xml:space="preserve"> without the presence of </w:t>
      </w:r>
      <w:r w:rsidR="002D37DC">
        <w:t xml:space="preserve">a </w:t>
      </w:r>
      <w:r w:rsidR="00535677">
        <w:t>solicitor</w:t>
      </w:r>
      <w:r w:rsidR="00491FF5">
        <w:t>. He </w:t>
      </w:r>
      <w:r w:rsidR="00491FF5" w:rsidRPr="00064917">
        <w:t>was given the new-style caution</w:t>
      </w:r>
      <w:r w:rsidR="002D37DC">
        <w:t xml:space="preserve"> (see paragraph </w:t>
      </w:r>
      <w:r w:rsidR="0082058A">
        <w:fldChar w:fldCharType="begin"/>
      </w:r>
      <w:r w:rsidR="007446E6">
        <w:instrText xml:space="preserve"> REF wordingofnewstylecaution \h </w:instrText>
      </w:r>
      <w:r w:rsidR="0082058A">
        <w:fldChar w:fldCharType="separate"/>
      </w:r>
      <w:r w:rsidR="00517F95">
        <w:rPr>
          <w:noProof/>
        </w:rPr>
        <w:t>137</w:t>
      </w:r>
      <w:r w:rsidR="0082058A">
        <w:fldChar w:fldCharType="end"/>
      </w:r>
      <w:r w:rsidR="002D37DC">
        <w:t xml:space="preserve"> below)</w:t>
      </w:r>
      <w:r w:rsidR="00491FF5" w:rsidRPr="00064917">
        <w:t xml:space="preserve">. He was told that he was suspected of involvement in the attacks of 21 July and </w:t>
      </w:r>
      <w:r w:rsidR="00B01502">
        <w:t xml:space="preserve">was </w:t>
      </w:r>
      <w:r w:rsidR="00491FF5" w:rsidRPr="00064917">
        <w:t>asked if he had any knowledge of further explosives, and those who had them, which could cause harm to the public in the near future. He maintained that he had nothing to do with the events of 21 July 2005 and that he knew nothing about them. He did not recognise the photographs of the alleged perpetrators which he had seen in the media. The safety interview finished at 8.22 p.m.</w:t>
      </w:r>
    </w:p>
    <w:p w:rsidR="00491FF5" w:rsidRPr="00064917" w:rsidRDefault="00555E80" w:rsidP="00491FF5">
      <w:pPr>
        <w:pStyle w:val="JuPara"/>
      </w:pPr>
      <w:r>
        <w:fldChar w:fldCharType="begin"/>
      </w:r>
      <w:r>
        <w:instrText xml:space="preserve"> SEQ level0 \*arabic </w:instrText>
      </w:r>
      <w:r>
        <w:fldChar w:fldCharType="separate"/>
      </w:r>
      <w:r w:rsidR="00517F95">
        <w:rPr>
          <w:noProof/>
        </w:rPr>
        <w:t>46</w:t>
      </w:r>
      <w:r>
        <w:rPr>
          <w:noProof/>
        </w:rPr>
        <w:fldChar w:fldCharType="end"/>
      </w:r>
      <w:r w:rsidR="009011CC">
        <w:t>.</w:t>
      </w:r>
      <w:r w:rsidR="00661205">
        <w:t>  </w:t>
      </w:r>
      <w:r w:rsidR="00491FF5" w:rsidRPr="00064917">
        <w:t>The duty solicitors arrived at the custody suite at 8.40 p.m. and saw Mr Mohammed at 9.45 p.m. Th</w:t>
      </w:r>
      <w:r w:rsidR="00491FF5">
        <w:t>e delay was partly caused by Mr </w:t>
      </w:r>
      <w:r w:rsidR="00491FF5" w:rsidRPr="00064917">
        <w:t>Mohammed</w:t>
      </w:r>
      <w:r w:rsidR="005E7B7A">
        <w:t>’</w:t>
      </w:r>
      <w:r w:rsidR="00491FF5" w:rsidRPr="00064917">
        <w:t>s request for time to pray and the provision of a meal.</w:t>
      </w:r>
    </w:p>
    <w:p w:rsidR="00491FF5" w:rsidRPr="00064917" w:rsidRDefault="00555E80" w:rsidP="00491FF5">
      <w:pPr>
        <w:pStyle w:val="JuPara"/>
      </w:pPr>
      <w:r>
        <w:fldChar w:fldCharType="begin"/>
      </w:r>
      <w:r>
        <w:instrText xml:space="preserve"> SEQ level0 \*arabic </w:instrText>
      </w:r>
      <w:r>
        <w:fldChar w:fldCharType="separate"/>
      </w:r>
      <w:r w:rsidR="00517F95">
        <w:rPr>
          <w:noProof/>
        </w:rPr>
        <w:t>47</w:t>
      </w:r>
      <w:r>
        <w:rPr>
          <w:noProof/>
        </w:rPr>
        <w:fldChar w:fldCharType="end"/>
      </w:r>
      <w:r w:rsidR="009011CC">
        <w:t>.</w:t>
      </w:r>
      <w:r w:rsidR="00661205">
        <w:t>  </w:t>
      </w:r>
      <w:r w:rsidR="00491FF5" w:rsidRPr="00064917">
        <w:t>On 31 July 2005 Mr Mohammed was interviewed for the second time, this time in the presence of a solicitor. Early in the interview, the solicitor read out the following statement by Mr Mohammed:</w:t>
      </w:r>
    </w:p>
    <w:p w:rsidR="00491FF5" w:rsidRPr="00064917" w:rsidRDefault="00491FF5" w:rsidP="00491FF5">
      <w:pPr>
        <w:pStyle w:val="ECHRParaQuote"/>
      </w:pPr>
      <w:r w:rsidRPr="00064917">
        <w:t>“I am not a terrorist and I</w:t>
      </w:r>
      <w:r w:rsidR="005E7B7A">
        <w:t>’</w:t>
      </w:r>
      <w:r w:rsidRPr="00064917">
        <w:t xml:space="preserve">m not in any way connected to any acts of terrorism and have not been connected to any acts of terrorism </w:t>
      </w:r>
      <w:r>
        <w:t>...</w:t>
      </w:r>
      <w:r w:rsidRPr="00064917">
        <w:t xml:space="preserve"> particularly on 21</w:t>
      </w:r>
      <w:r w:rsidRPr="00064917">
        <w:rPr>
          <w:vertAlign w:val="superscript"/>
        </w:rPr>
        <w:t>st</w:t>
      </w:r>
      <w:r w:rsidRPr="00064917">
        <w:t xml:space="preserve"> July or the 7</w:t>
      </w:r>
      <w:r w:rsidRPr="00064917">
        <w:rPr>
          <w:vertAlign w:val="superscript"/>
        </w:rPr>
        <w:t>th</w:t>
      </w:r>
      <w:r>
        <w:t> </w:t>
      </w:r>
      <w:r w:rsidRPr="00064917">
        <w:t>July 2005.”</w:t>
      </w:r>
    </w:p>
    <w:p w:rsidR="00491FF5" w:rsidRDefault="00555E80" w:rsidP="00491FF5">
      <w:pPr>
        <w:pStyle w:val="JuPara"/>
      </w:pPr>
      <w:r>
        <w:fldChar w:fldCharType="begin"/>
      </w:r>
      <w:r>
        <w:instrText xml:space="preserve"> SEQ level0 \*arabic </w:instrText>
      </w:r>
      <w:r>
        <w:fldChar w:fldCharType="separate"/>
      </w:r>
      <w:r w:rsidR="00517F95">
        <w:rPr>
          <w:noProof/>
        </w:rPr>
        <w:t>48</w:t>
      </w:r>
      <w:r>
        <w:rPr>
          <w:noProof/>
        </w:rPr>
        <w:fldChar w:fldCharType="end"/>
      </w:r>
      <w:r w:rsidR="009011CC">
        <w:t>.</w:t>
      </w:r>
      <w:r w:rsidR="00661205">
        <w:t>  </w:t>
      </w:r>
      <w:r w:rsidR="00491FF5" w:rsidRPr="00064917">
        <w:t>Thereafter Mr Mohammed exercised his right to silence.</w:t>
      </w:r>
    </w:p>
    <w:p w:rsidR="00491FF5" w:rsidRPr="00064917" w:rsidRDefault="002D37DC" w:rsidP="002D37DC">
      <w:pPr>
        <w:pStyle w:val="ECHRHeading3"/>
      </w:pPr>
      <w:r>
        <w:t>2.</w:t>
      </w:r>
      <w:r w:rsidR="00661205">
        <w:t>  </w:t>
      </w:r>
      <w:r w:rsidR="00491FF5" w:rsidRPr="00064917">
        <w:t>The trial</w:t>
      </w:r>
      <w:r w:rsidR="000C1832">
        <w:t xml:space="preserve"> of </w:t>
      </w:r>
      <w:r w:rsidR="00EA0CE9">
        <w:t>the first three applicants</w:t>
      </w:r>
    </w:p>
    <w:bookmarkStart w:id="25" w:name="First3appstrialstart"/>
    <w:p w:rsidR="002D37DC" w:rsidRDefault="0082058A" w:rsidP="00491FF5">
      <w:pPr>
        <w:pStyle w:val="JuPara"/>
      </w:pPr>
      <w:r>
        <w:fldChar w:fldCharType="begin"/>
      </w:r>
      <w:r w:rsidR="00C04CCA">
        <w:instrText xml:space="preserve"> SEQ level0 \*arabic </w:instrText>
      </w:r>
      <w:r>
        <w:fldChar w:fldCharType="separate"/>
      </w:r>
      <w:r w:rsidR="00517F95">
        <w:rPr>
          <w:noProof/>
        </w:rPr>
        <w:t>49</w:t>
      </w:r>
      <w:r>
        <w:rPr>
          <w:noProof/>
        </w:rPr>
        <w:fldChar w:fldCharType="end"/>
      </w:r>
      <w:bookmarkEnd w:id="25"/>
      <w:r w:rsidR="009011CC">
        <w:t>.</w:t>
      </w:r>
      <w:r w:rsidR="00661205">
        <w:t>  </w:t>
      </w:r>
      <w:r w:rsidR="00491FF5" w:rsidRPr="00064917">
        <w:t xml:space="preserve">The trial </w:t>
      </w:r>
      <w:r w:rsidR="00EA0CE9">
        <w:t xml:space="preserve">of </w:t>
      </w:r>
      <w:r w:rsidR="00491FF5" w:rsidRPr="00064917">
        <w:t>the</w:t>
      </w:r>
      <w:r w:rsidR="00EA0CE9">
        <w:t xml:space="preserve"> first three </w:t>
      </w:r>
      <w:r w:rsidR="00491FF5" w:rsidRPr="00064917">
        <w:t>applicants</w:t>
      </w:r>
      <w:r w:rsidR="00EA0CE9">
        <w:t xml:space="preserve"> </w:t>
      </w:r>
      <w:r w:rsidR="00CD724A">
        <w:t xml:space="preserve">for conspiracy to murder </w:t>
      </w:r>
      <w:r w:rsidR="00EA0CE9">
        <w:t xml:space="preserve">commenced </w:t>
      </w:r>
      <w:r w:rsidR="00567B1C">
        <w:t>in the Crown Court at Woolwich</w:t>
      </w:r>
      <w:r w:rsidR="00F95A0E">
        <w:t xml:space="preserve"> </w:t>
      </w:r>
      <w:r w:rsidR="00EA0CE9">
        <w:t>on 15 January 2007</w:t>
      </w:r>
      <w:r w:rsidR="00561675">
        <w:t xml:space="preserve"> before Mr </w:t>
      </w:r>
      <w:r w:rsidR="005E5D2E">
        <w:t>Justice Fulford and a jury</w:t>
      </w:r>
      <w:r w:rsidR="00EA0CE9">
        <w:t xml:space="preserve">. </w:t>
      </w:r>
      <w:r w:rsidR="00DE4C7A">
        <w:t xml:space="preserve">It was to last seven months. </w:t>
      </w:r>
      <w:r w:rsidR="002D37DC">
        <w:t>The applicants</w:t>
      </w:r>
      <w:r w:rsidR="00EA0CE9">
        <w:t xml:space="preserve"> stood trial alongside</w:t>
      </w:r>
      <w:r w:rsidR="00491FF5" w:rsidRPr="00064917">
        <w:t xml:space="preserve"> Mr Osman</w:t>
      </w:r>
      <w:r w:rsidR="00DA304D">
        <w:t xml:space="preserve">, </w:t>
      </w:r>
      <w:r w:rsidR="00561675">
        <w:t>Mr</w:t>
      </w:r>
      <w:r w:rsidR="00A76EF3">
        <w:t xml:space="preserve"> </w:t>
      </w:r>
      <w:r w:rsidR="00491FF5" w:rsidRPr="00064917">
        <w:t>Asiedu</w:t>
      </w:r>
      <w:r w:rsidR="007446E6">
        <w:t xml:space="preserve"> (see paragraph </w:t>
      </w:r>
      <w:r>
        <w:fldChar w:fldCharType="begin"/>
      </w:r>
      <w:r w:rsidR="007446E6">
        <w:instrText xml:space="preserve"> REF Introdefendants \h </w:instrText>
      </w:r>
      <w:r>
        <w:fldChar w:fldCharType="separate"/>
      </w:r>
      <w:r w:rsidR="00517F95">
        <w:rPr>
          <w:noProof/>
        </w:rPr>
        <w:t>9</w:t>
      </w:r>
      <w:r>
        <w:fldChar w:fldCharType="end"/>
      </w:r>
      <w:r w:rsidR="007446E6">
        <w:t xml:space="preserve"> above)</w:t>
      </w:r>
      <w:r w:rsidR="002D37DC">
        <w:t xml:space="preserve"> </w:t>
      </w:r>
      <w:r w:rsidR="00491FF5" w:rsidRPr="00064917">
        <w:t xml:space="preserve">and </w:t>
      </w:r>
      <w:r w:rsidR="00A76EF3">
        <w:t>Mr </w:t>
      </w:r>
      <w:r w:rsidR="002D37DC">
        <w:t>Adel Yahya (</w:t>
      </w:r>
      <w:r w:rsidR="00491FF5" w:rsidRPr="00064917">
        <w:t>accused of taking part in the essent</w:t>
      </w:r>
      <w:r w:rsidR="00EA0CE9">
        <w:t>ial preparation for the attacks</w:t>
      </w:r>
      <w:r w:rsidR="002D37DC">
        <w:t>)</w:t>
      </w:r>
      <w:r w:rsidR="00EA0CE9">
        <w:t>.</w:t>
      </w:r>
    </w:p>
    <w:p w:rsidR="00491FF5" w:rsidRDefault="00555E80" w:rsidP="00491FF5">
      <w:pPr>
        <w:pStyle w:val="JuPara"/>
      </w:pPr>
      <w:r>
        <w:fldChar w:fldCharType="begin"/>
      </w:r>
      <w:r>
        <w:instrText xml:space="preserve"> SEQ level0 \*arabic </w:instrText>
      </w:r>
      <w:r>
        <w:fldChar w:fldCharType="separate"/>
      </w:r>
      <w:r w:rsidR="00517F95">
        <w:rPr>
          <w:noProof/>
        </w:rPr>
        <w:t>50</w:t>
      </w:r>
      <w:r>
        <w:rPr>
          <w:noProof/>
        </w:rPr>
        <w:fldChar w:fldCharType="end"/>
      </w:r>
      <w:r w:rsidR="002D37DC">
        <w:t>.  </w:t>
      </w:r>
      <w:r w:rsidR="00E942F5">
        <w:t>The applicants</w:t>
      </w:r>
      <w:r w:rsidR="005E7B7A">
        <w:t>’</w:t>
      </w:r>
      <w:r w:rsidR="009011CC">
        <w:t xml:space="preserve"> defence was that </w:t>
      </w:r>
      <w:r w:rsidR="00B01502">
        <w:t xml:space="preserve">although </w:t>
      </w:r>
      <w:r w:rsidR="009011CC" w:rsidRPr="00064917">
        <w:t>they had been involved in the events of 21 July 2005 and had detonated</w:t>
      </w:r>
      <w:r w:rsidR="00F95A0E">
        <w:t xml:space="preserve"> the</w:t>
      </w:r>
      <w:r w:rsidR="00B01502">
        <w:t xml:space="preserve"> explosive devices,</w:t>
      </w:r>
      <w:r w:rsidR="009011CC" w:rsidRPr="00064917">
        <w:t xml:space="preserve"> their actions were not intended to kill but were merely an elaborate hoax designed as a protest against the war in Iraq. </w:t>
      </w:r>
      <w:r w:rsidR="00B01502">
        <w:t>T</w:t>
      </w:r>
      <w:r w:rsidR="009011CC" w:rsidRPr="00064917">
        <w:t xml:space="preserve">he bombs had </w:t>
      </w:r>
      <w:r w:rsidR="007A705F">
        <w:t xml:space="preserve">been designed to look realistic and to </w:t>
      </w:r>
      <w:r w:rsidR="00B01502">
        <w:t>cause a bang when they went off but</w:t>
      </w:r>
      <w:r w:rsidR="009011CC" w:rsidRPr="00064917">
        <w:t xml:space="preserve"> had deliberately been constructed with flaws to ensure that the main charge would not</w:t>
      </w:r>
      <w:r w:rsidR="007A705F">
        <w:t xml:space="preserve"> detonate</w:t>
      </w:r>
      <w:r w:rsidR="00921D12">
        <w:t>.</w:t>
      </w:r>
    </w:p>
    <w:p w:rsidR="00491FF5" w:rsidRPr="00064917" w:rsidRDefault="004B5D48" w:rsidP="002D37DC">
      <w:pPr>
        <w:pStyle w:val="ECHRHeading4"/>
      </w:pPr>
      <w:r>
        <w:lastRenderedPageBreak/>
        <w:t>(</w:t>
      </w:r>
      <w:r w:rsidR="002D37DC">
        <w:t>a</w:t>
      </w:r>
      <w:r>
        <w:t>)</w:t>
      </w:r>
      <w:r w:rsidR="00491FF5" w:rsidRPr="00064917">
        <w:t xml:space="preserve"> The admissibility of the safety interviews</w:t>
      </w:r>
    </w:p>
    <w:bookmarkStart w:id="26" w:name="First3appsFulfordadmissibilitystart"/>
    <w:bookmarkStart w:id="27" w:name="aaa51"/>
    <w:p w:rsidR="00491FF5" w:rsidRPr="00064917" w:rsidRDefault="0082058A" w:rsidP="00491FF5">
      <w:pPr>
        <w:pStyle w:val="JuPara"/>
      </w:pPr>
      <w:r>
        <w:fldChar w:fldCharType="begin"/>
      </w:r>
      <w:r w:rsidR="00205FF4">
        <w:instrText xml:space="preserve"> SEQ level0 \*arabic </w:instrText>
      </w:r>
      <w:r>
        <w:fldChar w:fldCharType="separate"/>
      </w:r>
      <w:r w:rsidR="00517F95">
        <w:rPr>
          <w:noProof/>
        </w:rPr>
        <w:t>51</w:t>
      </w:r>
      <w:r>
        <w:rPr>
          <w:noProof/>
        </w:rPr>
        <w:fldChar w:fldCharType="end"/>
      </w:r>
      <w:bookmarkEnd w:id="26"/>
      <w:bookmarkEnd w:id="27"/>
      <w:r w:rsidR="005E5D2E">
        <w:t>.</w:t>
      </w:r>
      <w:r w:rsidR="00661205">
        <w:t>  </w:t>
      </w:r>
      <w:r w:rsidR="00E942F5">
        <w:t>At the start of the trial, t</w:t>
      </w:r>
      <w:r w:rsidR="00491FF5" w:rsidRPr="00064917">
        <w:t>he</w:t>
      </w:r>
      <w:r w:rsidR="007106BF">
        <w:t xml:space="preserve"> </w:t>
      </w:r>
      <w:r w:rsidR="00491FF5" w:rsidRPr="00064917">
        <w:t xml:space="preserve">applicants </w:t>
      </w:r>
      <w:r w:rsidR="005449B3">
        <w:t>argued</w:t>
      </w:r>
      <w:r w:rsidR="00491FF5" w:rsidRPr="00064917">
        <w:t xml:space="preserve"> that the admission of </w:t>
      </w:r>
      <w:r w:rsidR="005449B3">
        <w:t xml:space="preserve">the statements they had given during </w:t>
      </w:r>
      <w:r w:rsidR="00491FF5" w:rsidRPr="00064917">
        <w:t>the</w:t>
      </w:r>
      <w:r w:rsidR="005449B3">
        <w:t>ir</w:t>
      </w:r>
      <w:r w:rsidR="00491FF5" w:rsidRPr="00064917">
        <w:t xml:space="preserve"> safety interviews would have such an adverse effect on the fairness of the proceedings that </w:t>
      </w:r>
      <w:r w:rsidR="005449B3">
        <w:t>they</w:t>
      </w:r>
      <w:r w:rsidR="00491FF5" w:rsidRPr="00064917">
        <w:t xml:space="preserve"> ought to be excluded pursuant to section 78 of the Police and Criminal Evidence Act 1978 (“PACE” – see paragraph </w:t>
      </w:r>
      <w:r>
        <w:rPr>
          <w:b/>
        </w:rPr>
        <w:fldChar w:fldCharType="begin"/>
      </w:r>
      <w:r w:rsidR="00815064">
        <w:instrText xml:space="preserve"> REF PACEsection78 \h </w:instrText>
      </w:r>
      <w:r>
        <w:rPr>
          <w:b/>
        </w:rPr>
      </w:r>
      <w:r>
        <w:rPr>
          <w:b/>
        </w:rPr>
        <w:fldChar w:fldCharType="separate"/>
      </w:r>
      <w:r w:rsidR="00517F95">
        <w:rPr>
          <w:noProof/>
        </w:rPr>
        <w:t>154</w:t>
      </w:r>
      <w:r>
        <w:rPr>
          <w:b/>
        </w:rPr>
        <w:fldChar w:fldCharType="end"/>
      </w:r>
      <w:r w:rsidR="00815064">
        <w:rPr>
          <w:b/>
        </w:rPr>
        <w:t xml:space="preserve"> </w:t>
      </w:r>
      <w:r w:rsidR="00491FF5" w:rsidRPr="00064917">
        <w:t>below).</w:t>
      </w:r>
      <w:r w:rsidR="00BB1775">
        <w:t xml:space="preserve"> </w:t>
      </w:r>
      <w:r w:rsidR="00491FF5" w:rsidRPr="00064917">
        <w:t xml:space="preserve">They contended that their right of access to a solicitor before and during the safety interviews </w:t>
      </w:r>
      <w:r w:rsidR="005449B3">
        <w:t>had been</w:t>
      </w:r>
      <w:r w:rsidR="00491FF5" w:rsidRPr="00064917">
        <w:t xml:space="preserve"> violated and that their </w:t>
      </w:r>
      <w:r w:rsidR="005449B3">
        <w:t>right</w:t>
      </w:r>
      <w:r w:rsidR="00491FF5" w:rsidRPr="00064917">
        <w:t xml:space="preserve"> against self</w:t>
      </w:r>
      <w:r w:rsidR="00491FF5">
        <w:noBreakHyphen/>
      </w:r>
      <w:r w:rsidR="00491FF5" w:rsidRPr="00064917">
        <w:t xml:space="preserve">incrimination </w:t>
      </w:r>
      <w:r w:rsidR="00E942F5">
        <w:t>had been</w:t>
      </w:r>
      <w:r w:rsidR="00491FF5" w:rsidRPr="00064917">
        <w:t xml:space="preserve"> breached as a result of the use of the new-style caution, when the old-style caution, </w:t>
      </w:r>
      <w:r w:rsidR="005449B3">
        <w:t>(</w:t>
      </w:r>
      <w:r w:rsidR="00491FF5" w:rsidRPr="00064917">
        <w:t xml:space="preserve">which made it clear that no adverse inferences could be drawn from their silence </w:t>
      </w:r>
      <w:r w:rsidR="005449B3">
        <w:t>because</w:t>
      </w:r>
      <w:r w:rsidR="00491FF5" w:rsidRPr="00064917">
        <w:t xml:space="preserve"> they h</w:t>
      </w:r>
      <w:r w:rsidR="005449B3">
        <w:t>ad not had access to solicitors)</w:t>
      </w:r>
      <w:r w:rsidR="00491FF5" w:rsidRPr="00064917">
        <w:t xml:space="preserve"> ought to have been used</w:t>
      </w:r>
      <w:r w:rsidR="005449B3">
        <w:t xml:space="preserve"> instead</w:t>
      </w:r>
      <w:r w:rsidR="00491FF5" w:rsidRPr="00064917">
        <w:t xml:space="preserve">. They also </w:t>
      </w:r>
      <w:r w:rsidR="009D09FC">
        <w:t>argued</w:t>
      </w:r>
      <w:r w:rsidR="00491FF5" w:rsidRPr="00064917">
        <w:t xml:space="preserve"> that the </w:t>
      </w:r>
      <w:r w:rsidR="009D09FC">
        <w:t>statements</w:t>
      </w:r>
      <w:r w:rsidR="00491FF5" w:rsidRPr="00064917">
        <w:t xml:space="preserve"> should be excluded on</w:t>
      </w:r>
      <w:r w:rsidR="009D09FC">
        <w:t xml:space="preserve"> grounds of public policy as</w:t>
      </w:r>
      <w:r w:rsidR="00F85D13">
        <w:t>,</w:t>
      </w:r>
      <w:r w:rsidR="009D09FC">
        <w:t xml:space="preserve"> if such statements were</w:t>
      </w:r>
      <w:r w:rsidR="00491FF5" w:rsidRPr="00064917">
        <w:t xml:space="preserve"> routinely admitted</w:t>
      </w:r>
      <w:r w:rsidR="009D09FC">
        <w:t>,</w:t>
      </w:r>
      <w:r w:rsidR="00491FF5" w:rsidRPr="00064917">
        <w:t xml:space="preserve"> there was a greater likelihood that suspects would refuse to answer questions about public safety.</w:t>
      </w:r>
    </w:p>
    <w:bookmarkStart w:id="28" w:name="F52voirdire"/>
    <w:p w:rsidR="00507BF9" w:rsidRDefault="0082058A" w:rsidP="00491FF5">
      <w:pPr>
        <w:pStyle w:val="JuPara"/>
      </w:pPr>
      <w:r>
        <w:fldChar w:fldCharType="begin"/>
      </w:r>
      <w:r w:rsidR="00F71299">
        <w:instrText xml:space="preserve"> SEQ level0 \*arabic </w:instrText>
      </w:r>
      <w:r>
        <w:fldChar w:fldCharType="separate"/>
      </w:r>
      <w:r w:rsidR="00517F95">
        <w:rPr>
          <w:noProof/>
        </w:rPr>
        <w:t>52</w:t>
      </w:r>
      <w:r>
        <w:rPr>
          <w:noProof/>
        </w:rPr>
        <w:fldChar w:fldCharType="end"/>
      </w:r>
      <w:bookmarkEnd w:id="28"/>
      <w:r w:rsidR="005E5D2E">
        <w:t>.</w:t>
      </w:r>
      <w:r w:rsidR="00661205">
        <w:t>  </w:t>
      </w:r>
      <w:r w:rsidR="00491FF5" w:rsidRPr="00064917">
        <w:t xml:space="preserve">A </w:t>
      </w:r>
      <w:r w:rsidR="00491FF5" w:rsidRPr="00064917">
        <w:rPr>
          <w:i/>
        </w:rPr>
        <w:t>voir dire</w:t>
      </w:r>
      <w:r w:rsidR="00491FF5" w:rsidRPr="00064917">
        <w:t xml:space="preserve"> </w:t>
      </w:r>
      <w:r w:rsidR="00AA3CA1">
        <w:t xml:space="preserve">(i.e. a hearing to determine the admissibility of evidence) </w:t>
      </w:r>
      <w:r w:rsidR="00491FF5" w:rsidRPr="00064917">
        <w:t xml:space="preserve">was conducted. </w:t>
      </w:r>
      <w:r w:rsidR="00813A7D">
        <w:t>At its conclusion, and after hearing counsels</w:t>
      </w:r>
      <w:r w:rsidR="005E7B7A">
        <w:t>’</w:t>
      </w:r>
      <w:r w:rsidR="00813A7D">
        <w:t xml:space="preserve"> submissions, </w:t>
      </w:r>
      <w:r w:rsidR="00E949CC">
        <w:t>the trial judge</w:t>
      </w:r>
      <w:r w:rsidR="005E5D2E">
        <w:t xml:space="preserve"> </w:t>
      </w:r>
      <w:r w:rsidR="00813A7D">
        <w:t>concluded that the statements made during the safety interviews could be admitted. His written ruling ran to 171 paragraphs and may be summarised as follows.</w:t>
      </w:r>
    </w:p>
    <w:p w:rsidR="00B8497F" w:rsidRDefault="00555E80" w:rsidP="00491FF5">
      <w:pPr>
        <w:pStyle w:val="JuPara"/>
      </w:pPr>
      <w:r>
        <w:fldChar w:fldCharType="begin"/>
      </w:r>
      <w:r>
        <w:instrText xml:space="preserve"> SEQ level0 \*arabic </w:instrText>
      </w:r>
      <w:r>
        <w:fldChar w:fldCharType="separate"/>
      </w:r>
      <w:r w:rsidR="00517F95">
        <w:rPr>
          <w:noProof/>
        </w:rPr>
        <w:t>53</w:t>
      </w:r>
      <w:r>
        <w:rPr>
          <w:noProof/>
        </w:rPr>
        <w:fldChar w:fldCharType="end"/>
      </w:r>
      <w:r w:rsidR="00507BF9">
        <w:t>.</w:t>
      </w:r>
      <w:r w:rsidR="00661205">
        <w:t>  </w:t>
      </w:r>
      <w:r w:rsidR="00E949CC">
        <w:t>The judge</w:t>
      </w:r>
      <w:r w:rsidR="00813A7D">
        <w:t xml:space="preserve"> </w:t>
      </w:r>
      <w:r w:rsidR="00491FF5" w:rsidRPr="00064917">
        <w:t xml:space="preserve">referred at the outset to the explanation given by the </w:t>
      </w:r>
      <w:r w:rsidR="00507BF9">
        <w:t xml:space="preserve">police </w:t>
      </w:r>
      <w:r w:rsidR="00491FF5" w:rsidRPr="00064917">
        <w:t xml:space="preserve">superintendent </w:t>
      </w:r>
      <w:r w:rsidR="00507BF9">
        <w:t>in charge</w:t>
      </w:r>
      <w:r w:rsidR="00491FF5" w:rsidRPr="00064917">
        <w:t xml:space="preserve"> </w:t>
      </w:r>
      <w:r w:rsidR="00507BF9">
        <w:t xml:space="preserve">of the investigation </w:t>
      </w:r>
      <w:r w:rsidR="00491FF5" w:rsidRPr="00064917">
        <w:t>of the situation which he</w:t>
      </w:r>
      <w:r w:rsidR="00507BF9">
        <w:t xml:space="preserve"> had</w:t>
      </w:r>
      <w:r w:rsidR="00E949CC">
        <w:t xml:space="preserve"> faced. </w:t>
      </w:r>
      <w:r w:rsidR="00491FF5" w:rsidRPr="00064917">
        <w:t xml:space="preserve">The superintendent </w:t>
      </w:r>
      <w:r w:rsidR="00E949CC">
        <w:t>had pointed</w:t>
      </w:r>
      <w:r w:rsidR="00491FF5" w:rsidRPr="00064917">
        <w:t xml:space="preserve"> in particular to the disco</w:t>
      </w:r>
      <w:r w:rsidR="00507BF9">
        <w:t xml:space="preserve">very of a quantity of chemicals, </w:t>
      </w:r>
      <w:r w:rsidR="00491FF5" w:rsidRPr="00064917">
        <w:t>which appeared to be far in excess of that required to construct the devices used during the attacks of 21 July</w:t>
      </w:r>
      <w:r w:rsidR="00507BF9">
        <w:t>,</w:t>
      </w:r>
      <w:r w:rsidR="00813A7D">
        <w:t xml:space="preserve"> and </w:t>
      </w:r>
      <w:r w:rsidR="00813A7D" w:rsidRPr="00064917">
        <w:t>to</w:t>
      </w:r>
      <w:r w:rsidR="00507BF9">
        <w:t xml:space="preserve"> </w:t>
      </w:r>
      <w:r w:rsidR="00491FF5" w:rsidRPr="00064917">
        <w:t xml:space="preserve">evidence that the suspects </w:t>
      </w:r>
      <w:r w:rsidR="00507BF9">
        <w:t>had been</w:t>
      </w:r>
      <w:r w:rsidR="00491FF5" w:rsidRPr="00064917">
        <w:t xml:space="preserve"> in receipt of considerable post-event assistance.</w:t>
      </w:r>
    </w:p>
    <w:bookmarkStart w:id="29" w:name="PaddingtonGreenfacilitiesFulford"/>
    <w:p w:rsidR="00535677" w:rsidRDefault="0082058A" w:rsidP="00491FF5">
      <w:pPr>
        <w:pStyle w:val="JuPara"/>
      </w:pPr>
      <w:r>
        <w:fldChar w:fldCharType="begin"/>
      </w:r>
      <w:r w:rsidR="00B8497F">
        <w:instrText xml:space="preserve"> SEQ level0 \*arabic </w:instrText>
      </w:r>
      <w:r>
        <w:fldChar w:fldCharType="separate"/>
      </w:r>
      <w:r w:rsidR="00517F95">
        <w:rPr>
          <w:noProof/>
        </w:rPr>
        <w:t>54</w:t>
      </w:r>
      <w:r>
        <w:fldChar w:fldCharType="end"/>
      </w:r>
      <w:bookmarkEnd w:id="29"/>
      <w:r w:rsidR="00B8497F">
        <w:t>.</w:t>
      </w:r>
      <w:r w:rsidR="00661205">
        <w:t>  </w:t>
      </w:r>
      <w:r w:rsidR="00E949CC">
        <w:t>The judge</w:t>
      </w:r>
      <w:r w:rsidR="00B8497F">
        <w:t xml:space="preserve"> also </w:t>
      </w:r>
      <w:r w:rsidR="00E949CC">
        <w:t>considered</w:t>
      </w:r>
      <w:r w:rsidR="00B8497F">
        <w:t xml:space="preserve"> the facilities available in the custody area at Paddington Green Police Station, where the applicants had been taken after their arrest and where the safety interviews had taken place. The entire custody facilities had been given over to the investigation</w:t>
      </w:r>
      <w:r w:rsidR="002D37DC">
        <w:t xml:space="preserve"> into the attempted bombings</w:t>
      </w:r>
      <w:r w:rsidR="00B8497F">
        <w:t>. There were twenty-two cells, rooms for medical and forensic testing purposes and four rooms for consultations between suspects and their solicitors.</w:t>
      </w:r>
      <w:r w:rsidR="00BB1775">
        <w:t xml:space="preserve"> </w:t>
      </w:r>
      <w:r w:rsidR="00B8497F">
        <w:t>However, at the time of Mr Ibrahim and Mr Mohammed</w:t>
      </w:r>
      <w:r w:rsidR="005E7B7A">
        <w:t>’</w:t>
      </w:r>
      <w:r w:rsidR="00B8497F">
        <w:t>s safety interviews, eighteen individuals suspect</w:t>
      </w:r>
      <w:r w:rsidR="00AA3CA1">
        <w:t>ed</w:t>
      </w:r>
      <w:r w:rsidR="00B8497F">
        <w:t xml:space="preserve"> of terrorism offences were detained at the police station. The imperative was to prevent communication between the suspect</w:t>
      </w:r>
      <w:r w:rsidR="00F85D13">
        <w:t>s</w:t>
      </w:r>
      <w:r w:rsidR="002D37DC">
        <w:t xml:space="preserve"> and to avoid cross-</w:t>
      </w:r>
      <w:r w:rsidR="00B8497F">
        <w:t>contamination in the course of searche</w:t>
      </w:r>
      <w:r w:rsidR="0017407D">
        <w:t>s and other forensic processes.</w:t>
      </w:r>
    </w:p>
    <w:bookmarkStart w:id="30" w:name="aaa55"/>
    <w:p w:rsidR="00507BF9" w:rsidRPr="00064917" w:rsidRDefault="003D1B82" w:rsidP="00507BF9">
      <w:pPr>
        <w:pStyle w:val="JuPara"/>
      </w:pPr>
      <w:r>
        <w:fldChar w:fldCharType="begin"/>
      </w:r>
      <w:r>
        <w:instrText xml:space="preserve"> SEQ level0 \*arabic </w:instrText>
      </w:r>
      <w:r>
        <w:fldChar w:fldCharType="separate"/>
      </w:r>
      <w:r w:rsidR="00517F95">
        <w:rPr>
          <w:noProof/>
        </w:rPr>
        <w:t>55</w:t>
      </w:r>
      <w:r>
        <w:rPr>
          <w:noProof/>
        </w:rPr>
        <w:fldChar w:fldCharType="end"/>
      </w:r>
      <w:bookmarkEnd w:id="30"/>
      <w:r w:rsidR="00507BF9">
        <w:t>.</w:t>
      </w:r>
      <w:r w:rsidR="00661205">
        <w:t>  </w:t>
      </w:r>
      <w:r w:rsidR="00E949CC">
        <w:t xml:space="preserve">The trial judge next </w:t>
      </w:r>
      <w:r w:rsidR="00507BF9" w:rsidRPr="00064917">
        <w:t>referred to the relevant statutory framework governing access to legal advice for those held under terrorism legislation (see paragraphs</w:t>
      </w:r>
      <w:r w:rsidR="007446E6">
        <w:t xml:space="preserve"> </w:t>
      </w:r>
      <w:r w:rsidR="0082058A">
        <w:fldChar w:fldCharType="begin"/>
      </w:r>
      <w:r w:rsidR="007446E6">
        <w:instrText xml:space="preserve"> REF Schedule8start \h </w:instrText>
      </w:r>
      <w:r w:rsidR="0082058A">
        <w:fldChar w:fldCharType="separate"/>
      </w:r>
      <w:r w:rsidR="00517F95">
        <w:rPr>
          <w:noProof/>
        </w:rPr>
        <w:t>139</w:t>
      </w:r>
      <w:r w:rsidR="0082058A">
        <w:fldChar w:fldCharType="end"/>
      </w:r>
      <w:r w:rsidR="00507BF9" w:rsidRPr="00064917">
        <w:t xml:space="preserve"> </w:t>
      </w:r>
      <w:r w:rsidR="00815064" w:rsidRPr="00815064">
        <w:t xml:space="preserve">et seq. </w:t>
      </w:r>
      <w:r w:rsidR="00507BF9" w:rsidRPr="00064917">
        <w:t xml:space="preserve">below), which made it clear that where a suspect was interviewed without legal assistance, the old-style </w:t>
      </w:r>
      <w:r w:rsidR="002D37DC">
        <w:t xml:space="preserve">caution should be administered, because </w:t>
      </w:r>
      <w:r w:rsidR="00507BF9" w:rsidRPr="00064917">
        <w:t>section 34(2A) of the Criminal Jus</w:t>
      </w:r>
      <w:r w:rsidR="007446E6">
        <w:t xml:space="preserve">tice and Public Order Act 1994 </w:t>
      </w:r>
      <w:r w:rsidR="00507BF9" w:rsidRPr="00064917">
        <w:t>prohibited the drawing of adverse inferences from silence where the suspect had not had access to legal advice</w:t>
      </w:r>
      <w:r w:rsidR="007446E6" w:rsidRPr="007446E6">
        <w:t xml:space="preserve"> </w:t>
      </w:r>
      <w:r w:rsidR="007446E6">
        <w:t>(</w:t>
      </w:r>
      <w:r w:rsidR="007446E6" w:rsidRPr="00064917">
        <w:t xml:space="preserve">see paragraph </w:t>
      </w:r>
      <w:r w:rsidR="0082058A">
        <w:rPr>
          <w:b/>
        </w:rPr>
        <w:fldChar w:fldCharType="begin"/>
      </w:r>
      <w:r w:rsidR="007446E6">
        <w:instrText xml:space="preserve"> REF CJPOAsection34 \h </w:instrText>
      </w:r>
      <w:r w:rsidR="0082058A">
        <w:rPr>
          <w:b/>
        </w:rPr>
      </w:r>
      <w:r w:rsidR="0082058A">
        <w:rPr>
          <w:b/>
        </w:rPr>
        <w:fldChar w:fldCharType="separate"/>
      </w:r>
      <w:r w:rsidR="00517F95">
        <w:rPr>
          <w:noProof/>
        </w:rPr>
        <w:t>136</w:t>
      </w:r>
      <w:r w:rsidR="0082058A">
        <w:rPr>
          <w:b/>
        </w:rPr>
        <w:fldChar w:fldCharType="end"/>
      </w:r>
      <w:r w:rsidR="007446E6">
        <w:rPr>
          <w:b/>
        </w:rPr>
        <w:t xml:space="preserve"> </w:t>
      </w:r>
      <w:r w:rsidR="007446E6" w:rsidRPr="00064917">
        <w:lastRenderedPageBreak/>
        <w:t>below)</w:t>
      </w:r>
      <w:r w:rsidR="00507BF9" w:rsidRPr="00064917">
        <w:t xml:space="preserve">. However, he considered that this did not extend to preventing the court from admitting evidence of things said by a suspect during questioning, </w:t>
      </w:r>
      <w:r w:rsidR="002D37DC">
        <w:t>including any lies that he told</w:t>
      </w:r>
      <w:r w:rsidR="00507BF9" w:rsidRPr="00064917">
        <w:t xml:space="preserve">. The judge indicated that the jury would be told that, contrary to the </w:t>
      </w:r>
      <w:r w:rsidR="00813A7D">
        <w:t xml:space="preserve">terms of the </w:t>
      </w:r>
      <w:r w:rsidR="00507BF9" w:rsidRPr="00064917">
        <w:t xml:space="preserve">new-style caution </w:t>
      </w:r>
      <w:r w:rsidR="00813A7D">
        <w:t xml:space="preserve">that had been </w:t>
      </w:r>
      <w:r w:rsidR="002D37DC">
        <w:t xml:space="preserve">on occasion </w:t>
      </w:r>
      <w:r w:rsidR="00E949CC">
        <w:t xml:space="preserve">administered, </w:t>
      </w:r>
      <w:r w:rsidR="00507BF9" w:rsidRPr="00064917">
        <w:t>no adverse inferences could be drawn from the</w:t>
      </w:r>
      <w:r w:rsidR="002D37DC">
        <w:t xml:space="preserve"> applicants</w:t>
      </w:r>
      <w:r w:rsidR="005E7B7A">
        <w:t>’</w:t>
      </w:r>
      <w:r w:rsidR="00507BF9" w:rsidRPr="00064917">
        <w:t xml:space="preserve"> failure to mention during questioning facts later relied on at trial.</w:t>
      </w:r>
    </w:p>
    <w:p w:rsidR="00507BF9" w:rsidRPr="00064917" w:rsidRDefault="00555E80" w:rsidP="00507BF9">
      <w:pPr>
        <w:pStyle w:val="JuPara"/>
      </w:pPr>
      <w:r>
        <w:fldChar w:fldCharType="begin"/>
      </w:r>
      <w:r>
        <w:instrText xml:space="preserve"> SEQ level0 \*arabic </w:instrText>
      </w:r>
      <w:r>
        <w:fldChar w:fldCharType="separate"/>
      </w:r>
      <w:r w:rsidR="00517F95">
        <w:rPr>
          <w:noProof/>
        </w:rPr>
        <w:t>56</w:t>
      </w:r>
      <w:r>
        <w:rPr>
          <w:noProof/>
        </w:rPr>
        <w:fldChar w:fldCharType="end"/>
      </w:r>
      <w:r w:rsidR="00507BF9">
        <w:t>.</w:t>
      </w:r>
      <w:r w:rsidR="00661205">
        <w:t>  </w:t>
      </w:r>
      <w:r w:rsidR="00B8497F">
        <w:t>He then</w:t>
      </w:r>
      <w:r w:rsidR="00507BF9" w:rsidRPr="00064917">
        <w:t xml:space="preserve"> turned to review this Court</w:t>
      </w:r>
      <w:r w:rsidR="005E7B7A">
        <w:t>’</w:t>
      </w:r>
      <w:r w:rsidR="00507BF9" w:rsidRPr="00064917">
        <w:t>s case-law on access to legal advice and the right to silence</w:t>
      </w:r>
      <w:r w:rsidR="002D37DC">
        <w:t>, explaining</w:t>
      </w:r>
      <w:r w:rsidR="00B8497F">
        <w:t>:</w:t>
      </w:r>
    </w:p>
    <w:p w:rsidR="00507BF9" w:rsidRPr="00970E87" w:rsidRDefault="00507BF9" w:rsidP="00970E87">
      <w:pPr>
        <w:pStyle w:val="ECHRParaQuote"/>
        <w:rPr>
          <w:sz w:val="22"/>
        </w:rPr>
      </w:pPr>
      <w:r w:rsidRPr="00064917">
        <w:t>“In my view, the following conclusions are to be drawn from those decisions of the ECHR. First, legal advice can be withheld for good cause during the early stages of interviews, so long as the conditions in which the interviews occur are not significantly coercive (</w:t>
      </w:r>
      <w:r w:rsidR="00C308DA" w:rsidRPr="00C308DA">
        <w:rPr>
          <w:i/>
        </w:rPr>
        <w:t>Magee v. the United Kingdom</w:t>
      </w:r>
      <w:r w:rsidR="00C308DA" w:rsidRPr="00C308DA">
        <w:t>, no. 28135/95, ECHR 2000 VI</w:t>
      </w:r>
      <w:r w:rsidRPr="00064917">
        <w:t>) and so long as access is not delayed for an excessive period (</w:t>
      </w:r>
      <w:r w:rsidR="00970E87" w:rsidRPr="00970E87">
        <w:rPr>
          <w:i/>
        </w:rPr>
        <w:t xml:space="preserve">John Murray v. the United Kingdom, </w:t>
      </w:r>
      <w:r w:rsidR="00970E87" w:rsidRPr="00970E87">
        <w:t>8 February 1996</w:t>
      </w:r>
      <w:r w:rsidR="00970E87" w:rsidRPr="00970E87">
        <w:rPr>
          <w:i/>
        </w:rPr>
        <w:t xml:space="preserve">, Reports of Judgments and Decisions </w:t>
      </w:r>
      <w:r w:rsidR="00970E87">
        <w:t>1996-</w:t>
      </w:r>
      <w:r w:rsidR="00970E87" w:rsidRPr="00970E87">
        <w:t>I</w:t>
      </w:r>
      <w:r w:rsidRPr="00064917">
        <w:t>). Moreover, interviewing a suspect having withheld l</w:t>
      </w:r>
      <w:r w:rsidR="00B34516">
        <w:t>egal advice and following a new</w:t>
      </w:r>
      <w:r w:rsidR="00B34516">
        <w:noBreakHyphen/>
      </w:r>
      <w:r w:rsidRPr="00064917">
        <w:t xml:space="preserve">style caution is not decisive in the assessment of whether there has been a breach of Article 6 </w:t>
      </w:r>
      <w:r w:rsidRPr="00970E87">
        <w:t>(</w:t>
      </w:r>
      <w:r w:rsidR="00970E87" w:rsidRPr="00970E87">
        <w:rPr>
          <w:i/>
        </w:rPr>
        <w:t>Averill v. the United Kingdom</w:t>
      </w:r>
      <w:r w:rsidR="00970E87" w:rsidRPr="00970E87">
        <w:t>, no. 36408/97, ECHR 2000</w:t>
      </w:r>
      <w:r w:rsidR="00970E87" w:rsidRPr="00970E87">
        <w:noBreakHyphen/>
        <w:t>VI</w:t>
      </w:r>
      <w:r w:rsidRPr="00970E87">
        <w:t>).</w:t>
      </w:r>
      <w:r w:rsidRPr="00064917">
        <w:t xml:space="preserve"> Rather, the court must look at the circumstances overall and the use to which evidence is put (and including whether adverse inferences are drawn). Accordingly, so long as the overall circumstances have not caused irretrievable prejudice to the rights of the defendant, much will depend on the directions a jury receives as to how they should approach the silence or the statement of a suspect in these circumstances. As the </w:t>
      </w:r>
      <w:r w:rsidR="00970E87">
        <w:t>C</w:t>
      </w:r>
      <w:r w:rsidRPr="00064917">
        <w:t xml:space="preserve">ourt made clear in </w:t>
      </w:r>
      <w:r w:rsidRPr="00064917">
        <w:rPr>
          <w:i/>
        </w:rPr>
        <w:t>Averill</w:t>
      </w:r>
      <w:r w:rsidRPr="00064917">
        <w:t>, considerable caution is required when attaching weight to the fact that a person arrested in connection with a serious criminal offence and having been denied access to a lawyer during the early stages of his interrogation responds in a particular way – or as in that case, does not respond – to the questions put to him. The need for caution is not removed simply because an accused is eventually allowed to see his solicitor and then refuses to answer questions. A jury must be given a strong and careful warning that they must take into account all of the relevant circumstances; they must h</w:t>
      </w:r>
      <w:r w:rsidR="00970E87">
        <w:t>ave discounted all reasonable (</w:t>
      </w:r>
      <w:r w:rsidR="005E7B7A">
        <w:t>‘</w:t>
      </w:r>
      <w:r w:rsidRPr="00064917">
        <w:t>innocent</w:t>
      </w:r>
      <w:r w:rsidR="005E7B7A">
        <w:t>’</w:t>
      </w:r>
      <w:r w:rsidRPr="00064917">
        <w:t>) explanations for the accused</w:t>
      </w:r>
      <w:r w:rsidR="005E7B7A">
        <w:t>’</w:t>
      </w:r>
      <w:r w:rsidRPr="00064917">
        <w:t>s silence or statements before they consider using this material against him; and the jury must be told to be careful not to accord disproportionate weight to this evidence.”</w:t>
      </w:r>
    </w:p>
    <w:p w:rsidR="00507BF9" w:rsidRPr="00064917" w:rsidRDefault="00555E80" w:rsidP="00507BF9">
      <w:pPr>
        <w:pStyle w:val="JuPara"/>
      </w:pPr>
      <w:r>
        <w:fldChar w:fldCharType="begin"/>
      </w:r>
      <w:r>
        <w:instrText xml:space="preserve"> SEQ level0 \*arabic </w:instrText>
      </w:r>
      <w:r>
        <w:fldChar w:fldCharType="separate"/>
      </w:r>
      <w:r w:rsidR="00517F95">
        <w:rPr>
          <w:noProof/>
        </w:rPr>
        <w:t>57</w:t>
      </w:r>
      <w:r>
        <w:rPr>
          <w:noProof/>
        </w:rPr>
        <w:fldChar w:fldCharType="end"/>
      </w:r>
      <w:r w:rsidR="00507BF9">
        <w:t>.</w:t>
      </w:r>
      <w:r w:rsidR="00661205">
        <w:t>  </w:t>
      </w:r>
      <w:r w:rsidR="00E949CC">
        <w:t>The trial judge</w:t>
      </w:r>
      <w:r w:rsidR="00507BF9" w:rsidRPr="00064917">
        <w:t xml:space="preserve"> considered that the </w:t>
      </w:r>
      <w:r w:rsidR="00E949CC">
        <w:t xml:space="preserve">applicable code of practice (see paragraphs </w:t>
      </w:r>
      <w:r w:rsidR="0082058A">
        <w:fldChar w:fldCharType="begin"/>
      </w:r>
      <w:r w:rsidR="00E949CC">
        <w:instrText xml:space="preserve"> REF Codeofpracticestart \h </w:instrText>
      </w:r>
      <w:r w:rsidR="0082058A">
        <w:fldChar w:fldCharType="separate"/>
      </w:r>
      <w:r w:rsidR="00517F95">
        <w:rPr>
          <w:noProof/>
        </w:rPr>
        <w:t>144</w:t>
      </w:r>
      <w:r w:rsidR="0082058A">
        <w:fldChar w:fldCharType="end"/>
      </w:r>
      <w:r w:rsidR="00E949CC">
        <w:t>-</w:t>
      </w:r>
      <w:r w:rsidR="0082058A">
        <w:fldChar w:fldCharType="begin"/>
      </w:r>
      <w:r w:rsidR="00E949CC">
        <w:instrText xml:space="preserve"> REF Codeofpracticeend \h </w:instrText>
      </w:r>
      <w:r w:rsidR="0082058A">
        <w:fldChar w:fldCharType="separate"/>
      </w:r>
      <w:r w:rsidR="00517F95">
        <w:rPr>
          <w:noProof/>
        </w:rPr>
        <w:t>151</w:t>
      </w:r>
      <w:r w:rsidR="0082058A">
        <w:fldChar w:fldCharType="end"/>
      </w:r>
      <w:r w:rsidR="00E949CC">
        <w:t xml:space="preserve"> below)</w:t>
      </w:r>
      <w:r w:rsidR="00DD25CA">
        <w:t xml:space="preserve"> and the caution</w:t>
      </w:r>
      <w:r w:rsidR="00507BF9" w:rsidRPr="00064917">
        <w:t xml:space="preserve"> were primarily designed to protect an accused from self-incrimination and to warn him of the consequences if he chose to answer questions and the harm that could be done to his case if he failed to reveal elements of his defence on which he later relied at trial. </w:t>
      </w:r>
      <w:r w:rsidR="002D37DC">
        <w:t>Neither the code nor the caution was</w:t>
      </w:r>
      <w:r w:rsidR="00507BF9" w:rsidRPr="00064917">
        <w:t xml:space="preserve"> intended to protect defendants from telling lies. </w:t>
      </w:r>
      <w:r w:rsidR="007446E6">
        <w:t>The judge</w:t>
      </w:r>
      <w:r w:rsidR="00507BF9" w:rsidRPr="00064917">
        <w:t xml:space="preserve"> explained:</w:t>
      </w:r>
    </w:p>
    <w:p w:rsidR="00507BF9" w:rsidRPr="00064917" w:rsidRDefault="00507BF9" w:rsidP="00507BF9">
      <w:pPr>
        <w:pStyle w:val="ECHRParaQuote"/>
      </w:pPr>
      <w:r w:rsidRPr="00064917">
        <w:t>“Whilst I recognise that an accused may benefit from having a solicitor remind him of his moral duty to tell the truth, in my view it is an invalid argument to suggest that an interview is necessarily inadmissible because the suspect did not have the advantage of a consultation with a solicitor, who had been excluded for good cause, in order to tell him that he should not deceive the police.”</w:t>
      </w:r>
    </w:p>
    <w:bookmarkStart w:id="31" w:name="aaa58"/>
    <w:p w:rsidR="00507BF9" w:rsidRDefault="003D1B82" w:rsidP="00507BF9">
      <w:pPr>
        <w:pStyle w:val="JuPara"/>
      </w:pPr>
      <w:r>
        <w:lastRenderedPageBreak/>
        <w:fldChar w:fldCharType="begin"/>
      </w:r>
      <w:r>
        <w:instrText xml:space="preserve"> SEQ level0 \*arabic </w:instrText>
      </w:r>
      <w:r>
        <w:fldChar w:fldCharType="separate"/>
      </w:r>
      <w:r w:rsidR="00517F95">
        <w:rPr>
          <w:noProof/>
        </w:rPr>
        <w:t>58</w:t>
      </w:r>
      <w:r>
        <w:rPr>
          <w:noProof/>
        </w:rPr>
        <w:fldChar w:fldCharType="end"/>
      </w:r>
      <w:bookmarkEnd w:id="31"/>
      <w:r w:rsidR="00507BF9">
        <w:t>.</w:t>
      </w:r>
      <w:r w:rsidR="00661205">
        <w:t>  </w:t>
      </w:r>
      <w:r w:rsidR="00B8497F">
        <w:t>He</w:t>
      </w:r>
      <w:r w:rsidR="00507BF9" w:rsidRPr="00064917">
        <w:t xml:space="preserve"> concluded that, despite the absence of a solicitor during the safety interviews and the use of the wrong caution, there was no significant unfairness or material infringement of the applicants</w:t>
      </w:r>
      <w:r w:rsidR="005E7B7A">
        <w:t>’</w:t>
      </w:r>
      <w:r w:rsidR="00507BF9" w:rsidRPr="00064917">
        <w:t xml:space="preserve"> right to a fair trial.</w:t>
      </w:r>
    </w:p>
    <w:p w:rsidR="00507BF9" w:rsidRPr="00064917" w:rsidRDefault="00555E80" w:rsidP="00507BF9">
      <w:pPr>
        <w:pStyle w:val="JuPara"/>
      </w:pPr>
      <w:r>
        <w:fldChar w:fldCharType="begin"/>
      </w:r>
      <w:r>
        <w:instrText xml:space="preserve"> SEQ level0 \*arabic </w:instrText>
      </w:r>
      <w:r>
        <w:fldChar w:fldCharType="separate"/>
      </w:r>
      <w:r w:rsidR="00517F95">
        <w:rPr>
          <w:noProof/>
        </w:rPr>
        <w:t>59</w:t>
      </w:r>
      <w:r>
        <w:rPr>
          <w:noProof/>
        </w:rPr>
        <w:fldChar w:fldCharType="end"/>
      </w:r>
      <w:r w:rsidR="00507BF9">
        <w:t>.</w:t>
      </w:r>
      <w:r w:rsidR="00661205">
        <w:t>  </w:t>
      </w:r>
      <w:r w:rsidR="00507BF9" w:rsidRPr="00064917">
        <w:t xml:space="preserve">In response to the submission that the </w:t>
      </w:r>
      <w:r w:rsidR="005B4F4C">
        <w:t>applicants</w:t>
      </w:r>
      <w:r w:rsidR="00507BF9" w:rsidRPr="00064917">
        <w:t xml:space="preserve"> were confronted with irreconcilable propositions when asked to participate in the safety interviews, the judge found that they were not. He noted:</w:t>
      </w:r>
    </w:p>
    <w:p w:rsidR="00507BF9" w:rsidRPr="00064917" w:rsidRDefault="00507BF9" w:rsidP="00507BF9">
      <w:pPr>
        <w:pStyle w:val="ECHRParaQuote"/>
      </w:pPr>
      <w:r w:rsidRPr="00064917">
        <w:t>“</w:t>
      </w:r>
      <w:r>
        <w:t>...</w:t>
      </w:r>
      <w:r w:rsidRPr="00064917">
        <w:t xml:space="preserve"> The defendants were confronted with a stark but clear choice: either they could help the police in the knowledge that what they said may be utilised against them, or they could protect themselves and remain silent </w:t>
      </w:r>
      <w:r>
        <w:t>...</w:t>
      </w:r>
      <w:r w:rsidRPr="00064917">
        <w:t xml:space="preserve"> What is clear beyond doubt is that the defendants were not misled or deceived as to the underlying purpose of the interviews, the possible consequences of answering questions or the potential risks of not revealing elements of their defence </w:t>
      </w:r>
      <w:r>
        <w:t>...</w:t>
      </w:r>
      <w:r w:rsidRPr="00064917">
        <w:t>”</w:t>
      </w:r>
    </w:p>
    <w:bookmarkStart w:id="32" w:name="Fulfordrulingsinglewordhoax"/>
    <w:p w:rsidR="00507BF9" w:rsidRPr="00064917" w:rsidRDefault="0082058A" w:rsidP="00507BF9">
      <w:pPr>
        <w:pStyle w:val="JuPara"/>
      </w:pPr>
      <w:r>
        <w:fldChar w:fldCharType="begin"/>
      </w:r>
      <w:r w:rsidR="00507BF9">
        <w:instrText xml:space="preserve"> SEQ level0 \*arabic </w:instrText>
      </w:r>
      <w:r>
        <w:fldChar w:fldCharType="separate"/>
      </w:r>
      <w:r w:rsidR="00517F95">
        <w:rPr>
          <w:noProof/>
        </w:rPr>
        <w:t>60</w:t>
      </w:r>
      <w:r>
        <w:fldChar w:fldCharType="end"/>
      </w:r>
      <w:bookmarkEnd w:id="32"/>
      <w:r w:rsidR="00507BF9">
        <w:t>.</w:t>
      </w:r>
      <w:r w:rsidR="00661205">
        <w:t>  </w:t>
      </w:r>
      <w:r w:rsidR="00507BF9" w:rsidRPr="00064917">
        <w:t xml:space="preserve">He further observed that the defence that the applicants chose not to reveal at that stage was directly relevant to the public safety issues and was easy to describe. It did not require any detailed understanding of the criminal law or a complicated factual explanation. It could have been summed up by the single word “hoax”. </w:t>
      </w:r>
      <w:r w:rsidR="005337F8">
        <w:t>The judge</w:t>
      </w:r>
      <w:r w:rsidR="00507BF9" w:rsidRPr="00064917">
        <w:t xml:space="preserve"> accepted that it was sometimes necessary to have the assistance of a lawyer before a suspect could understand and describe a complicated defence, but </w:t>
      </w:r>
      <w:r w:rsidR="00DD25CA">
        <w:t>said</w:t>
      </w:r>
      <w:r w:rsidR="00507BF9" w:rsidRPr="00064917">
        <w:t xml:space="preserve"> that this was not the case here.</w:t>
      </w:r>
    </w:p>
    <w:p w:rsidR="00507BF9" w:rsidRPr="00064917" w:rsidRDefault="00555E80" w:rsidP="00507BF9">
      <w:pPr>
        <w:pStyle w:val="JuPara"/>
      </w:pPr>
      <w:r>
        <w:fldChar w:fldCharType="begin"/>
      </w:r>
      <w:r>
        <w:instrText xml:space="preserve"> SEQ level0 \*arabic </w:instrText>
      </w:r>
      <w:r>
        <w:fldChar w:fldCharType="separate"/>
      </w:r>
      <w:r w:rsidR="00517F95">
        <w:rPr>
          <w:noProof/>
        </w:rPr>
        <w:t>61</w:t>
      </w:r>
      <w:r>
        <w:rPr>
          <w:noProof/>
        </w:rPr>
        <w:fldChar w:fldCharType="end"/>
      </w:r>
      <w:r w:rsidR="00507BF9">
        <w:t>.</w:t>
      </w:r>
      <w:r w:rsidR="00661205">
        <w:t>  </w:t>
      </w:r>
      <w:r w:rsidR="005337F8">
        <w:t>The judge</w:t>
      </w:r>
      <w:r w:rsidR="00507BF9" w:rsidRPr="00064917">
        <w:t xml:space="preserve"> considered that the defendants might have had a more credible position if they had answered the questions posed in ways which were at least arguably designed to assist the public and which, as a result, incriminated them. However, it was common ground that </w:t>
      </w:r>
      <w:r w:rsidR="005337F8">
        <w:t>they</w:t>
      </w:r>
      <w:r w:rsidR="00507BF9" w:rsidRPr="00064917">
        <w:t xml:space="preserve"> had either lied or failed to reveal what they knew in the safety interviews: rather than incriminate themselves, they had offered false</w:t>
      </w:r>
      <w:r w:rsidR="007446E6">
        <w:t>,</w:t>
      </w:r>
      <w:r w:rsidR="00507BF9" w:rsidRPr="00064917">
        <w:t xml:space="preserve"> exculpatory explanations. </w:t>
      </w:r>
      <w:r w:rsidR="005337F8">
        <w:t>T</w:t>
      </w:r>
      <w:r w:rsidR="00507BF9" w:rsidRPr="00064917">
        <w:t xml:space="preserve">he judge </w:t>
      </w:r>
      <w:r w:rsidR="005337F8">
        <w:t xml:space="preserve">further </w:t>
      </w:r>
      <w:r w:rsidR="00507BF9" w:rsidRPr="00064917">
        <w:t>found that the invitation to cooperate in the process of protecting the public was not an impermissible inducement. Finally, he concluded that the administration of the ne</w:t>
      </w:r>
      <w:r w:rsidR="00DD25CA">
        <w:t>w-style caution did not pressur</w:t>
      </w:r>
      <w:r w:rsidR="00507BF9" w:rsidRPr="00064917">
        <w:t>e the defendants into providing any element of their various defences.</w:t>
      </w:r>
    </w:p>
    <w:bookmarkStart w:id="33" w:name="Fulfordrulingsignificancestatements"/>
    <w:p w:rsidR="00507BF9" w:rsidRPr="00064917" w:rsidRDefault="0082058A" w:rsidP="00507BF9">
      <w:pPr>
        <w:pStyle w:val="JuPara"/>
      </w:pPr>
      <w:r>
        <w:fldChar w:fldCharType="begin"/>
      </w:r>
      <w:r w:rsidR="00507BF9">
        <w:instrText xml:space="preserve"> SEQ level0 \*arabic </w:instrText>
      </w:r>
      <w:r>
        <w:fldChar w:fldCharType="separate"/>
      </w:r>
      <w:r w:rsidR="00517F95">
        <w:rPr>
          <w:noProof/>
        </w:rPr>
        <w:t>62</w:t>
      </w:r>
      <w:r>
        <w:fldChar w:fldCharType="end"/>
      </w:r>
      <w:bookmarkEnd w:id="33"/>
      <w:r w:rsidR="00507BF9">
        <w:t>.</w:t>
      </w:r>
      <w:r w:rsidR="00661205">
        <w:t>  </w:t>
      </w:r>
      <w:r w:rsidR="00507BF9" w:rsidRPr="00064917">
        <w:t xml:space="preserve">The judge set out in detail the approach he had adopted to the exercise of his discretion </w:t>
      </w:r>
      <w:r w:rsidR="005337F8">
        <w:t xml:space="preserve">whether </w:t>
      </w:r>
      <w:r w:rsidR="00507BF9" w:rsidRPr="00064917">
        <w:t xml:space="preserve">to exclude the evidence. In particular, he had given full weight to the principle that access to legal advice before and during questioning was one of the most fundamental rights that should only be denied on reasonable grounds in particular cases; and he had taken into consideration the fact that the environment in which the applicants were held was not in any true sense coercive and that the questioning was neither oppressive nor unfair. While he accepted that the erroneous administration of the new-style caution involved a level of indirect compulsion, this was not, in his view, decisive: the choice for the applicants was an easy one and they had not been “induced” by the caution to incriminate themselves but had instead told deliberate, exculpatory lies. </w:t>
      </w:r>
      <w:r w:rsidR="005337F8">
        <w:t>H</w:t>
      </w:r>
      <w:r w:rsidR="00507BF9" w:rsidRPr="00064917">
        <w:t xml:space="preserve">e </w:t>
      </w:r>
      <w:r w:rsidR="005337F8">
        <w:t>also n</w:t>
      </w:r>
      <w:r w:rsidR="00507BF9" w:rsidRPr="00064917">
        <w:t xml:space="preserve">oted that the evidence of the safety interviews was potentially of high relevance to the central </w:t>
      </w:r>
      <w:r w:rsidR="00507BF9" w:rsidRPr="00064917">
        <w:lastRenderedPageBreak/>
        <w:t>question raised in the trial, namely whether the defences now advanced were possibly true.</w:t>
      </w:r>
    </w:p>
    <w:bookmarkStart w:id="34" w:name="FulfordrulingOmarquestioning"/>
    <w:p w:rsidR="00507BF9" w:rsidRDefault="0082058A" w:rsidP="00507BF9">
      <w:pPr>
        <w:pStyle w:val="JuPara"/>
      </w:pPr>
      <w:r>
        <w:fldChar w:fldCharType="begin"/>
      </w:r>
      <w:r w:rsidR="005E5D2E">
        <w:instrText xml:space="preserve"> SEQ level0 \*arabic </w:instrText>
      </w:r>
      <w:r>
        <w:fldChar w:fldCharType="separate"/>
      </w:r>
      <w:r w:rsidR="00517F95">
        <w:rPr>
          <w:noProof/>
        </w:rPr>
        <w:t>63</w:t>
      </w:r>
      <w:r>
        <w:fldChar w:fldCharType="end"/>
      </w:r>
      <w:bookmarkEnd w:id="34"/>
      <w:r w:rsidR="005E5D2E">
        <w:t>.</w:t>
      </w:r>
      <w:r w:rsidR="00661205">
        <w:t>  </w:t>
      </w:r>
      <w:r w:rsidR="00507BF9">
        <w:t xml:space="preserve">As regards </w:t>
      </w:r>
      <w:r w:rsidR="00491FF5">
        <w:t>Mr</w:t>
      </w:r>
      <w:r w:rsidR="0017407D">
        <w:t xml:space="preserve"> </w:t>
      </w:r>
      <w:r w:rsidR="00491FF5" w:rsidRPr="00064917">
        <w:t>Omar</w:t>
      </w:r>
      <w:r w:rsidR="005E7B7A">
        <w:t>’</w:t>
      </w:r>
      <w:r w:rsidR="00507BF9">
        <w:t xml:space="preserve">s safety interviews, </w:t>
      </w:r>
      <w:r w:rsidR="005337F8">
        <w:t>the judge</w:t>
      </w:r>
      <w:r w:rsidR="00DE1E3B">
        <w:t xml:space="preserve"> </w:t>
      </w:r>
      <w:r w:rsidR="005337F8">
        <w:t>observed</w:t>
      </w:r>
      <w:r w:rsidR="00491FF5" w:rsidRPr="00064917">
        <w:t xml:space="preserve"> that</w:t>
      </w:r>
      <w:r w:rsidR="00507BF9">
        <w:t>,</w:t>
      </w:r>
      <w:r w:rsidR="00491FF5" w:rsidRPr="00064917">
        <w:t xml:space="preserve"> in answering the questions des</w:t>
      </w:r>
      <w:r w:rsidR="00DE1E3B">
        <w:t>igned to protect the public, Mr</w:t>
      </w:r>
      <w:r w:rsidR="0017407D">
        <w:t xml:space="preserve"> </w:t>
      </w:r>
      <w:r w:rsidR="00491FF5" w:rsidRPr="00064917">
        <w:t>Omar had volunteered a very large amount of misleading information. He had not incriminated himself at any stage, but had instead told extensive exculpatory lies. The judge considered it clear that the police officers had concentrated throughout on issues that might have revealed information relevant to assisting them to locate people or items that could pose a danger to the public. He noted that there was no suggestion that the police had exceeded the requirements of what was necessary and that it was acknowledged that the lines of questioning were relevant to public safety issues.</w:t>
      </w:r>
    </w:p>
    <w:bookmarkStart w:id="35" w:name="FulfordrulingOmareighthours"/>
    <w:bookmarkStart w:id="36" w:name="aaa64"/>
    <w:p w:rsidR="00507BF9" w:rsidRPr="00064917" w:rsidRDefault="0082058A" w:rsidP="00507BF9">
      <w:pPr>
        <w:pStyle w:val="JuPara"/>
      </w:pPr>
      <w:r>
        <w:fldChar w:fldCharType="begin"/>
      </w:r>
      <w:r w:rsidR="00507BF9">
        <w:instrText xml:space="preserve"> SEQ level0 \*arabic </w:instrText>
      </w:r>
      <w:r>
        <w:fldChar w:fldCharType="separate"/>
      </w:r>
      <w:r w:rsidR="00517F95">
        <w:rPr>
          <w:noProof/>
        </w:rPr>
        <w:t>64</w:t>
      </w:r>
      <w:r>
        <w:fldChar w:fldCharType="end"/>
      </w:r>
      <w:bookmarkEnd w:id="35"/>
      <w:bookmarkEnd w:id="36"/>
      <w:r w:rsidR="00507BF9">
        <w:t>.</w:t>
      </w:r>
      <w:r w:rsidR="00661205">
        <w:t>  </w:t>
      </w:r>
      <w:r w:rsidR="005337F8">
        <w:t>The judge</w:t>
      </w:r>
      <w:r w:rsidR="00507BF9" w:rsidRPr="00064917">
        <w:t xml:space="preserve"> found that </w:t>
      </w:r>
      <w:r w:rsidR="00507BF9">
        <w:t>Mr Omar</w:t>
      </w:r>
      <w:r w:rsidR="00507BF9" w:rsidRPr="00064917">
        <w:t xml:space="preserve"> had been denied access to a solicitor for a little over eight hours. The safety interviews </w:t>
      </w:r>
      <w:r w:rsidR="004D2916">
        <w:t>had been</w:t>
      </w:r>
      <w:r w:rsidR="00507BF9" w:rsidRPr="00064917">
        <w:t xml:space="preserve"> conducted expeditiously and as soon as they were completed Mr Omar </w:t>
      </w:r>
      <w:r w:rsidR="004D2916">
        <w:t>had been</w:t>
      </w:r>
      <w:r w:rsidR="00507BF9" w:rsidRPr="00064917">
        <w:t xml:space="preserve"> given access to a solicitor. The interviews were neither coercive nor oppressive, as accepted by Mr Omar</w:t>
      </w:r>
      <w:r w:rsidR="005E7B7A">
        <w:t>’</w:t>
      </w:r>
      <w:r w:rsidR="00507BF9" w:rsidRPr="00064917">
        <w:t xml:space="preserve">s counsel. Although a breach of the </w:t>
      </w:r>
      <w:r w:rsidR="005337F8">
        <w:t>applicable code of practice</w:t>
      </w:r>
      <w:r w:rsidR="00507BF9" w:rsidRPr="00064917">
        <w:t xml:space="preserve"> </w:t>
      </w:r>
      <w:r w:rsidR="004D2916">
        <w:t xml:space="preserve">had </w:t>
      </w:r>
      <w:r w:rsidR="00507BF9" w:rsidRPr="00064917">
        <w:t xml:space="preserve">occurred when the new-style caution was administered at the beginning of safety interview C, that </w:t>
      </w:r>
      <w:r w:rsidR="004D2916">
        <w:t>had not</w:t>
      </w:r>
      <w:r w:rsidR="00507BF9" w:rsidRPr="00064917">
        <w:t xml:space="preserve"> affect</w:t>
      </w:r>
      <w:r w:rsidR="004D2916">
        <w:t>ed</w:t>
      </w:r>
      <w:r w:rsidR="00507BF9" w:rsidRPr="00064917">
        <w:t xml:space="preserve"> his attitude to the questioning. He </w:t>
      </w:r>
      <w:r w:rsidR="004D2916">
        <w:t xml:space="preserve">had </w:t>
      </w:r>
      <w:r w:rsidR="00507BF9" w:rsidRPr="00064917">
        <w:t>continued telling lies consistent with what he had said in safety interviews A and B.</w:t>
      </w:r>
    </w:p>
    <w:p w:rsidR="00560D3E" w:rsidRDefault="00555E80" w:rsidP="00491FF5">
      <w:pPr>
        <w:pStyle w:val="JuPara"/>
      </w:pPr>
      <w:r>
        <w:fldChar w:fldCharType="begin"/>
      </w:r>
      <w:r>
        <w:instrText xml:space="preserve"> SEQ level0 \*arabic </w:instrText>
      </w:r>
      <w:r>
        <w:fldChar w:fldCharType="separate"/>
      </w:r>
      <w:r w:rsidR="00517F95">
        <w:rPr>
          <w:noProof/>
        </w:rPr>
        <w:t>65</w:t>
      </w:r>
      <w:r>
        <w:rPr>
          <w:noProof/>
        </w:rPr>
        <w:fldChar w:fldCharType="end"/>
      </w:r>
      <w:r w:rsidR="005E5D2E">
        <w:t>.</w:t>
      </w:r>
      <w:r w:rsidR="00661205">
        <w:t>  </w:t>
      </w:r>
      <w:r w:rsidR="00491FF5" w:rsidRPr="00064917">
        <w:t xml:space="preserve">As regards Mr Ibrahim, having reviewed the evidence showing the times and locations of the various interviews and consultations taking place at the police station, </w:t>
      </w:r>
      <w:r w:rsidR="004D2916">
        <w:t>the judge</w:t>
      </w:r>
      <w:r w:rsidR="00DE1E3B">
        <w:t xml:space="preserve"> </w:t>
      </w:r>
      <w:r w:rsidR="00491FF5" w:rsidRPr="00064917">
        <w:t>accepted “unhesitatingly” that it would have been impractical for a telephone conversati</w:t>
      </w:r>
      <w:r w:rsidR="00491FF5">
        <w:t>on between the solicitor and Mr </w:t>
      </w:r>
      <w:r w:rsidR="00491FF5" w:rsidRPr="00064917">
        <w:t xml:space="preserve">Ibrahim to have been arranged at the </w:t>
      </w:r>
      <w:r w:rsidR="00491FF5">
        <w:t>time of her telephone calls</w:t>
      </w:r>
      <w:r w:rsidR="007446E6">
        <w:t xml:space="preserve"> (see paragraphs </w:t>
      </w:r>
      <w:r w:rsidR="0082058A">
        <w:fldChar w:fldCharType="begin"/>
      </w:r>
      <w:r w:rsidR="007446E6">
        <w:instrText xml:space="preserve"> REF Ibrahimsolcall1 \h </w:instrText>
      </w:r>
      <w:r w:rsidR="0082058A">
        <w:fldChar w:fldCharType="separate"/>
      </w:r>
      <w:r w:rsidR="00517F95">
        <w:rPr>
          <w:noProof/>
        </w:rPr>
        <w:t>34</w:t>
      </w:r>
      <w:r w:rsidR="0082058A">
        <w:fldChar w:fldCharType="end"/>
      </w:r>
      <w:r w:rsidR="007446E6">
        <w:t>-</w:t>
      </w:r>
      <w:r w:rsidR="0082058A">
        <w:fldChar w:fldCharType="begin"/>
      </w:r>
      <w:r w:rsidR="007446E6">
        <w:instrText xml:space="preserve"> REF Ibrahimsolcall2 \h </w:instrText>
      </w:r>
      <w:r w:rsidR="0082058A">
        <w:fldChar w:fldCharType="separate"/>
      </w:r>
      <w:r w:rsidR="00517F95">
        <w:rPr>
          <w:noProof/>
        </w:rPr>
        <w:t>35</w:t>
      </w:r>
      <w:r w:rsidR="0082058A">
        <w:fldChar w:fldCharType="end"/>
      </w:r>
      <w:r w:rsidR="007446E6">
        <w:t xml:space="preserve"> above)</w:t>
      </w:r>
      <w:r w:rsidR="00491FF5">
        <w:t>. He</w:t>
      </w:r>
      <w:r w:rsidR="0017407D">
        <w:t xml:space="preserve"> </w:t>
      </w:r>
      <w:r w:rsidR="00491FF5" w:rsidRPr="00064917">
        <w:t xml:space="preserve">observed that at the relevant time there </w:t>
      </w:r>
      <w:r w:rsidR="004D2916">
        <w:t>had been</w:t>
      </w:r>
      <w:r w:rsidR="00491FF5" w:rsidRPr="00064917">
        <w:t xml:space="preserve"> eighteen detainees at the police station, all arrested for suspected involvement in the events of 21 July 2005. The police station </w:t>
      </w:r>
      <w:r w:rsidR="004D2916">
        <w:t>had been</w:t>
      </w:r>
      <w:r w:rsidR="00491FF5" w:rsidRPr="00064917">
        <w:t xml:space="preserve"> exceptionally busy and the conference rooms had been prioritised for face-to-face consultations; it </w:t>
      </w:r>
      <w:r w:rsidR="004D2916">
        <w:t>would</w:t>
      </w:r>
      <w:r w:rsidR="00491FF5" w:rsidRPr="00064917">
        <w:t xml:space="preserve"> not</w:t>
      </w:r>
      <w:r w:rsidR="004D2916">
        <w:t xml:space="preserve"> have been </w:t>
      </w:r>
      <w:r w:rsidR="00491FF5" w:rsidRPr="00064917">
        <w:t xml:space="preserve">a realistic option to leave a room free with a telephone socket for telephone conversations with lawyers. </w:t>
      </w:r>
      <w:r w:rsidR="004D2916">
        <w:t>The judge</w:t>
      </w:r>
      <w:r w:rsidR="00DE1E3B">
        <w:t xml:space="preserve"> </w:t>
      </w:r>
      <w:r w:rsidR="00491FF5" w:rsidRPr="00064917">
        <w:t xml:space="preserve">noted that the police had accepted that there had been a breakdown in communication in that the interviewing officers </w:t>
      </w:r>
      <w:r w:rsidR="004D2916">
        <w:t>had</w:t>
      </w:r>
      <w:r w:rsidR="00491FF5" w:rsidRPr="00064917">
        <w:t xml:space="preserve"> not</w:t>
      </w:r>
      <w:r w:rsidR="004D2916">
        <w:t xml:space="preserve"> been</w:t>
      </w:r>
      <w:r w:rsidR="00491FF5" w:rsidRPr="00064917">
        <w:t xml:space="preserve"> told that </w:t>
      </w:r>
      <w:r w:rsidR="004D2916">
        <w:t>Mr Ibrahim</w:t>
      </w:r>
      <w:r w:rsidR="005E7B7A">
        <w:t>’</w:t>
      </w:r>
      <w:r w:rsidR="004D2916">
        <w:t>s</w:t>
      </w:r>
      <w:r w:rsidR="00491FF5" w:rsidRPr="00064917">
        <w:t xml:space="preserve"> solicitor was trying to speak with him on the telephone.</w:t>
      </w:r>
    </w:p>
    <w:p w:rsidR="00491FF5" w:rsidRPr="00064917" w:rsidRDefault="00555E80" w:rsidP="00491FF5">
      <w:pPr>
        <w:pStyle w:val="JuPara"/>
      </w:pPr>
      <w:r>
        <w:fldChar w:fldCharType="begin"/>
      </w:r>
      <w:r>
        <w:instrText xml:space="preserve"> SEQ level0 \*arabic </w:instrText>
      </w:r>
      <w:r>
        <w:fldChar w:fldCharType="separate"/>
      </w:r>
      <w:r w:rsidR="00517F95">
        <w:rPr>
          <w:noProof/>
        </w:rPr>
        <w:t>66</w:t>
      </w:r>
      <w:r>
        <w:rPr>
          <w:noProof/>
        </w:rPr>
        <w:fldChar w:fldCharType="end"/>
      </w:r>
      <w:r w:rsidR="00A67836">
        <w:t>.</w:t>
      </w:r>
      <w:r w:rsidR="00661205">
        <w:t>  </w:t>
      </w:r>
      <w:r w:rsidR="004D2916">
        <w:t>The judge further held that i</w:t>
      </w:r>
      <w:r w:rsidR="005B4F4C">
        <w:t>t</w:t>
      </w:r>
      <w:r w:rsidR="00491FF5" w:rsidRPr="00064917">
        <w:t xml:space="preserve"> would have been impractical for </w:t>
      </w:r>
      <w:r w:rsidR="00B34516">
        <w:t>Mr </w:t>
      </w:r>
      <w:r w:rsidR="005B4F4C">
        <w:t>Ibrahim</w:t>
      </w:r>
      <w:r w:rsidR="00491FF5" w:rsidRPr="00064917">
        <w:t xml:space="preserve"> to have spoken to</w:t>
      </w:r>
      <w:r w:rsidR="00A67836">
        <w:t xml:space="preserve"> a solicitor before the booking-</w:t>
      </w:r>
      <w:r w:rsidR="00491FF5" w:rsidRPr="00064917">
        <w:t>in procedures were completed at 4.42</w:t>
      </w:r>
      <w:r w:rsidR="0017407D">
        <w:t xml:space="preserve"> </w:t>
      </w:r>
      <w:r w:rsidR="00491FF5" w:rsidRPr="00064917">
        <w:t xml:space="preserve">p.m. Although there </w:t>
      </w:r>
      <w:r w:rsidR="00B34516">
        <w:t>was, in theory, time for a face</w:t>
      </w:r>
      <w:r w:rsidR="00B34516">
        <w:noBreakHyphen/>
      </w:r>
      <w:r w:rsidR="00491FF5" w:rsidRPr="00064917">
        <w:t>to-face conference between 6.10</w:t>
      </w:r>
      <w:r w:rsidR="0017407D">
        <w:t xml:space="preserve"> </w:t>
      </w:r>
      <w:r w:rsidR="00491FF5" w:rsidRPr="00064917">
        <w:t>p.m., when the safety interview w</w:t>
      </w:r>
      <w:r w:rsidR="0017407D">
        <w:t xml:space="preserve">as authorised, and 7.58 </w:t>
      </w:r>
      <w:r w:rsidR="00491FF5" w:rsidRPr="00064917">
        <w:t xml:space="preserve">p.m., when it commenced, the judge considered that, in light of the pressure under which the police were working, it was wholly understandable that no officer </w:t>
      </w:r>
      <w:r w:rsidR="004D2916">
        <w:t xml:space="preserve">had </w:t>
      </w:r>
      <w:r w:rsidR="00491FF5" w:rsidRPr="00064917">
        <w:t xml:space="preserve">appreciated that there was time to ask the duty solicitor </w:t>
      </w:r>
      <w:r w:rsidR="00491FF5">
        <w:t>to attend for a meeting with Mr</w:t>
      </w:r>
      <w:r w:rsidR="0017407D">
        <w:t xml:space="preserve"> </w:t>
      </w:r>
      <w:r w:rsidR="00491FF5" w:rsidRPr="00064917">
        <w:t xml:space="preserve">Ibrahim before the safety </w:t>
      </w:r>
      <w:r w:rsidR="00491FF5" w:rsidRPr="00064917">
        <w:lastRenderedPageBreak/>
        <w:t>interview commenced. However, the judge was of the view that it should have been possible, between 5</w:t>
      </w:r>
      <w:r w:rsidR="0017407D">
        <w:t xml:space="preserve"> </w:t>
      </w:r>
      <w:r w:rsidR="00491FF5" w:rsidRPr="00064917">
        <w:t>p.m. and 7.58</w:t>
      </w:r>
      <w:r w:rsidR="0017407D">
        <w:t xml:space="preserve"> </w:t>
      </w:r>
      <w:r w:rsidR="00491FF5" w:rsidRPr="00064917">
        <w:t>p.m., to ensure that the duty solicitor was given access to Mr Ibrahim by telephone and accordingly concluded that, to this limited extent, he was incorrectly denied access to legal advice by telephone. However, he considered that this error did not involve a material infringement of his defence rights, noting:</w:t>
      </w:r>
    </w:p>
    <w:p w:rsidR="00491FF5" w:rsidRDefault="00491FF5" w:rsidP="00491FF5">
      <w:pPr>
        <w:pStyle w:val="ECHRParaQuote"/>
      </w:pPr>
      <w:r w:rsidRPr="00064917">
        <w:t>“145.</w:t>
      </w:r>
      <w:r w:rsidR="00661205">
        <w:t>  </w:t>
      </w:r>
      <w:r>
        <w:t>...</w:t>
      </w:r>
      <w:r w:rsidRPr="00064917">
        <w:t xml:space="preserve"> [T]his infringement of his rights was of low significance: it would have been impossible for [the duty solicitor], in speaking to Ibrahim for the first time over the telephone, to give detailed and informed advice in those circumstances, and she would have been unable to provide material assistance on the decision which he had to take. Although for this defendant the choice was a straightforward one, [the duty solicitor] would have needed to understand the entirety of the main background circumstances before she could give advice that would have been useful to Ibrahim as regards the options confronting him. She could have advised him of his rights, but save for any issues arising out of the misuse of the new-style caution, his core rights had already been made clear to him: he was entitled to legal advice (which had been delayed for public safety reasons); he was entitled to remain silent; and anything he did say may be given in evidence against him. There is no suggestion that he did not understand these straightforward matters.”</w:t>
      </w:r>
    </w:p>
    <w:bookmarkStart w:id="37" w:name="FulfordrulingIbrahimsevenandhalfhours"/>
    <w:bookmarkStart w:id="38" w:name="aaa67"/>
    <w:p w:rsidR="00491FF5" w:rsidRPr="00064917" w:rsidRDefault="0082058A" w:rsidP="00491FF5">
      <w:pPr>
        <w:pStyle w:val="JuPara"/>
      </w:pPr>
      <w:r>
        <w:fldChar w:fldCharType="begin"/>
      </w:r>
      <w:r w:rsidR="00A67836">
        <w:instrText xml:space="preserve"> SEQ level0 \*arabic </w:instrText>
      </w:r>
      <w:r>
        <w:fldChar w:fldCharType="separate"/>
      </w:r>
      <w:r w:rsidR="00517F95">
        <w:rPr>
          <w:noProof/>
        </w:rPr>
        <w:t>67</w:t>
      </w:r>
      <w:r>
        <w:fldChar w:fldCharType="end"/>
      </w:r>
      <w:bookmarkEnd w:id="37"/>
      <w:bookmarkEnd w:id="38"/>
      <w:r w:rsidR="00A67836">
        <w:t>.</w:t>
      </w:r>
      <w:r w:rsidR="00661205">
        <w:t>  </w:t>
      </w:r>
      <w:r w:rsidR="00491FF5" w:rsidRPr="00064917">
        <w:t>The judge considered that the erroneous use of the new-style caution was a straightforward and wholly understandable oversight on the part of the officers conducting the interview, given the pressure under which they were operating. He noted that the safety interview was short; that it was not suggested that it had been conducted coercively; and that the questions did not go beyond legitimate q</w:t>
      </w:r>
      <w:r w:rsidR="004D2916">
        <w:t>uestioning for safety purposes. The judge</w:t>
      </w:r>
      <w:r w:rsidR="004D2916" w:rsidRPr="00064917">
        <w:t xml:space="preserve"> examined the transcript of the safety interv</w:t>
      </w:r>
      <w:r w:rsidR="00B34516">
        <w:t>iew conducted and noted that Mr </w:t>
      </w:r>
      <w:r w:rsidR="004D2916" w:rsidRPr="00064917">
        <w:t>Ibrahim had consistently denied having knowledge of any planned future attacks or hidden explosives.</w:t>
      </w:r>
      <w:r w:rsidR="004D2916">
        <w:t xml:space="preserve"> </w:t>
      </w:r>
      <w:r w:rsidR="00F6282B">
        <w:t>Mr Ibrahim</w:t>
      </w:r>
      <w:r w:rsidR="00491FF5" w:rsidRPr="00064917">
        <w:t xml:space="preserve"> </w:t>
      </w:r>
      <w:r w:rsidR="00DD25CA">
        <w:t>had seen</w:t>
      </w:r>
      <w:r w:rsidR="00491FF5" w:rsidRPr="00064917">
        <w:t xml:space="preserve"> a lawyer around seven and a half hours after his first request to see one.</w:t>
      </w:r>
    </w:p>
    <w:bookmarkStart w:id="39" w:name="FulfordrulingMohammed"/>
    <w:bookmarkStart w:id="40" w:name="aaa68"/>
    <w:p w:rsidR="00491FF5" w:rsidRPr="00064917" w:rsidRDefault="0082058A" w:rsidP="00491FF5">
      <w:pPr>
        <w:pStyle w:val="JuPara"/>
      </w:pPr>
      <w:r>
        <w:fldChar w:fldCharType="begin"/>
      </w:r>
      <w:r w:rsidR="00A67836">
        <w:instrText xml:space="preserve"> SEQ level0 \*arabic </w:instrText>
      </w:r>
      <w:r>
        <w:fldChar w:fldCharType="separate"/>
      </w:r>
      <w:r w:rsidR="00517F95">
        <w:rPr>
          <w:noProof/>
        </w:rPr>
        <w:t>68</w:t>
      </w:r>
      <w:r>
        <w:fldChar w:fldCharType="end"/>
      </w:r>
      <w:bookmarkEnd w:id="39"/>
      <w:bookmarkEnd w:id="40"/>
      <w:r w:rsidR="00A67836">
        <w:t>.</w:t>
      </w:r>
      <w:r w:rsidR="00661205">
        <w:t>  </w:t>
      </w:r>
      <w:r w:rsidR="00491FF5" w:rsidRPr="00064917">
        <w:t xml:space="preserve">In respect of Mr Mohammed, the judge found that legal advice had been delayed for about four hours, during which time eight minutes of questioning </w:t>
      </w:r>
      <w:r w:rsidR="004D2916">
        <w:t>had taken</w:t>
      </w:r>
      <w:r w:rsidR="00491FF5" w:rsidRPr="00064917">
        <w:t xml:space="preserve"> place. There was no suggestion that the interview </w:t>
      </w:r>
      <w:r w:rsidR="004D2916">
        <w:t>had been</w:t>
      </w:r>
      <w:r w:rsidR="00491FF5" w:rsidRPr="00064917">
        <w:t xml:space="preserve"> held in coercive circumstances. Aside from the administration of the new-style caution, there was no evidence of any pressure having been applied. The judge was sure that the interview </w:t>
      </w:r>
      <w:r w:rsidR="004D2916">
        <w:t>had</w:t>
      </w:r>
      <w:r w:rsidR="00491FF5" w:rsidRPr="00064917">
        <w:t xml:space="preserve"> not exceed</w:t>
      </w:r>
      <w:r w:rsidR="004D2916">
        <w:t>ed</w:t>
      </w:r>
      <w:r w:rsidR="00491FF5" w:rsidRPr="00064917">
        <w:t xml:space="preserve"> the legitimate bounds or purpose of a safety interview and </w:t>
      </w:r>
      <w:r w:rsidR="004D2916">
        <w:t>had been</w:t>
      </w:r>
      <w:r w:rsidR="00491FF5" w:rsidRPr="00064917">
        <w:t>, on the contrary, focused and appropriate.</w:t>
      </w:r>
    </w:p>
    <w:bookmarkStart w:id="41" w:name="First3appsFulfordadmissibilityend"/>
    <w:p w:rsidR="00491FF5" w:rsidRDefault="0082058A" w:rsidP="007A6910">
      <w:pPr>
        <w:pStyle w:val="JuPara"/>
      </w:pPr>
      <w:r>
        <w:fldChar w:fldCharType="begin"/>
      </w:r>
      <w:r w:rsidR="00205FF4">
        <w:instrText xml:space="preserve"> SEQ level0 \*arabic </w:instrText>
      </w:r>
      <w:r>
        <w:fldChar w:fldCharType="separate"/>
      </w:r>
      <w:r w:rsidR="00517F95">
        <w:rPr>
          <w:noProof/>
        </w:rPr>
        <w:t>69</w:t>
      </w:r>
      <w:r>
        <w:rPr>
          <w:noProof/>
        </w:rPr>
        <w:fldChar w:fldCharType="end"/>
      </w:r>
      <w:bookmarkEnd w:id="41"/>
      <w:r w:rsidR="00A67836">
        <w:t>.</w:t>
      </w:r>
      <w:r w:rsidR="00661205">
        <w:t>  </w:t>
      </w:r>
      <w:r w:rsidR="004D2916">
        <w:t>The judge</w:t>
      </w:r>
      <w:r w:rsidR="005B4F4C">
        <w:t xml:space="preserve"> therefore</w:t>
      </w:r>
      <w:r w:rsidR="00491FF5" w:rsidRPr="00064917">
        <w:t xml:space="preserve"> concluded that there had been no material infringement of the right of any of the </w:t>
      </w:r>
      <w:r w:rsidR="00DD25CA">
        <w:t>applicants</w:t>
      </w:r>
      <w:r w:rsidR="00491FF5" w:rsidRPr="00064917">
        <w:t xml:space="preserve"> to exercise </w:t>
      </w:r>
      <w:r w:rsidR="00DD25CA">
        <w:t>their</w:t>
      </w:r>
      <w:r w:rsidR="00491FF5" w:rsidRPr="00064917">
        <w:t xml:space="preserve"> defence rights and that the interviews were </w:t>
      </w:r>
      <w:r w:rsidR="005B4F4C">
        <w:t>admissible in their entirety.</w:t>
      </w:r>
    </w:p>
    <w:p w:rsidR="00491FF5" w:rsidRDefault="004B5D48" w:rsidP="00DD25CA">
      <w:pPr>
        <w:pStyle w:val="ECHRHeading4"/>
      </w:pPr>
      <w:r>
        <w:t>(</w:t>
      </w:r>
      <w:r w:rsidR="00DD25CA">
        <w:t>b</w:t>
      </w:r>
      <w:r>
        <w:t>)</w:t>
      </w:r>
      <w:r w:rsidR="00661205">
        <w:t>  </w:t>
      </w:r>
      <w:r w:rsidR="00491FF5" w:rsidRPr="00064917">
        <w:t>The</w:t>
      </w:r>
      <w:r w:rsidR="00A67836">
        <w:t xml:space="preserve"> other prosecution</w:t>
      </w:r>
      <w:r w:rsidR="00491FF5" w:rsidRPr="00064917">
        <w:t xml:space="preserve"> evidence</w:t>
      </w:r>
    </w:p>
    <w:p w:rsidR="00BE41E8" w:rsidRDefault="00555E80" w:rsidP="00491FF5">
      <w:pPr>
        <w:pStyle w:val="JuPara"/>
      </w:pPr>
      <w:r>
        <w:fldChar w:fldCharType="begin"/>
      </w:r>
      <w:r>
        <w:instrText xml:space="preserve"> SEQ level0 \*arabic </w:instrText>
      </w:r>
      <w:r>
        <w:fldChar w:fldCharType="separate"/>
      </w:r>
      <w:r w:rsidR="00517F95">
        <w:rPr>
          <w:noProof/>
        </w:rPr>
        <w:t>70</w:t>
      </w:r>
      <w:r>
        <w:rPr>
          <w:noProof/>
        </w:rPr>
        <w:fldChar w:fldCharType="end"/>
      </w:r>
      <w:r w:rsidR="00BE41E8">
        <w:t>.</w:t>
      </w:r>
      <w:r w:rsidR="00661205">
        <w:t>  </w:t>
      </w:r>
      <w:r w:rsidR="00DD25CA">
        <w:t>T</w:t>
      </w:r>
      <w:r w:rsidR="00491FF5" w:rsidRPr="00064917">
        <w:t>he</w:t>
      </w:r>
      <w:r w:rsidR="00B61012">
        <w:t xml:space="preserve"> main</w:t>
      </w:r>
      <w:r w:rsidR="00491FF5" w:rsidRPr="00064917">
        <w:t xml:space="preserve"> issue at trial was whether the failure of the devices to explode was an intentional design flaw </w:t>
      </w:r>
      <w:r w:rsidR="00DD25CA">
        <w:t xml:space="preserve">(in which case the applicants could not be guilty of conspiracy to murder) </w:t>
      </w:r>
      <w:r w:rsidR="00491FF5" w:rsidRPr="00064917">
        <w:t xml:space="preserve">or a mistake in the construction of the </w:t>
      </w:r>
      <w:r w:rsidR="00491FF5" w:rsidRPr="00064917">
        <w:lastRenderedPageBreak/>
        <w:t>devices. The prosecution relied heavily on the</w:t>
      </w:r>
      <w:r w:rsidR="007106BF">
        <w:t xml:space="preserve"> </w:t>
      </w:r>
      <w:r w:rsidR="00491FF5" w:rsidRPr="00064917">
        <w:t>applicants</w:t>
      </w:r>
      <w:r w:rsidR="005E7B7A">
        <w:t>’</w:t>
      </w:r>
      <w:r w:rsidR="00491FF5" w:rsidRPr="00064917">
        <w:t xml:space="preserve"> answers in their safety interviews to undermine their defence that the events of 2</w:t>
      </w:r>
      <w:r w:rsidR="0017407D">
        <w:t>1 July were intended as a hoax.</w:t>
      </w:r>
    </w:p>
    <w:bookmarkStart w:id="42" w:name="F3appsotherevextremist"/>
    <w:p w:rsidR="00683183" w:rsidRPr="00DB2DA2" w:rsidRDefault="0082058A" w:rsidP="00BE41E8">
      <w:pPr>
        <w:pStyle w:val="JuPara"/>
      </w:pPr>
      <w:r>
        <w:fldChar w:fldCharType="begin"/>
      </w:r>
      <w:r w:rsidR="00C04CCA">
        <w:instrText xml:space="preserve"> SEQ level0 \*arabic </w:instrText>
      </w:r>
      <w:r>
        <w:fldChar w:fldCharType="separate"/>
      </w:r>
      <w:r w:rsidR="00517F95">
        <w:rPr>
          <w:noProof/>
        </w:rPr>
        <w:t>71</w:t>
      </w:r>
      <w:r>
        <w:rPr>
          <w:noProof/>
        </w:rPr>
        <w:fldChar w:fldCharType="end"/>
      </w:r>
      <w:bookmarkEnd w:id="42"/>
      <w:r w:rsidR="00BE41E8">
        <w:t>.</w:t>
      </w:r>
      <w:r w:rsidR="00661205">
        <w:t>  </w:t>
      </w:r>
      <w:r w:rsidR="00DA3785">
        <w:t xml:space="preserve">The prosecution also led evidence that the men had </w:t>
      </w:r>
      <w:r w:rsidR="00491FF5" w:rsidRPr="00064917">
        <w:t xml:space="preserve">extremist </w:t>
      </w:r>
      <w:r w:rsidR="00DA3785">
        <w:t>views.</w:t>
      </w:r>
      <w:r w:rsidR="00BB1775">
        <w:t xml:space="preserve"> </w:t>
      </w:r>
      <w:r w:rsidR="001A183C">
        <w:t xml:space="preserve">They relied on extremist material </w:t>
      </w:r>
      <w:r w:rsidR="00491FF5" w:rsidRPr="00064917">
        <w:t>found at the res</w:t>
      </w:r>
      <w:r w:rsidR="001A183C">
        <w:t>idences of Mr Omar and Mr Osman (of beh</w:t>
      </w:r>
      <w:r w:rsidR="00DA304D">
        <w:t xml:space="preserve">eadings and other atrocities); </w:t>
      </w:r>
      <w:r w:rsidR="001A183C">
        <w:t xml:space="preserve">evidence that the first three applicants and Mr Osman </w:t>
      </w:r>
      <w:r w:rsidR="004D2916">
        <w:t xml:space="preserve">had </w:t>
      </w:r>
      <w:r w:rsidR="001A183C">
        <w:t>attended a tra</w:t>
      </w:r>
      <w:r w:rsidR="004D2916">
        <w:t>ining camp in the Lake District and</w:t>
      </w:r>
      <w:r w:rsidR="001A183C">
        <w:t xml:space="preserve"> that Mr Ibrahim had travelled abroad on jihad</w:t>
      </w:r>
      <w:r w:rsidR="004D2916">
        <w:t>;</w:t>
      </w:r>
      <w:r w:rsidR="00DA304D">
        <w:t xml:space="preserve"> and</w:t>
      </w:r>
      <w:r w:rsidR="001A183C">
        <w:t xml:space="preserve"> </w:t>
      </w:r>
      <w:r w:rsidR="004D2916">
        <w:t xml:space="preserve">evidence </w:t>
      </w:r>
      <w:r w:rsidR="00B34516">
        <w:t>that Mr </w:t>
      </w:r>
      <w:r w:rsidR="001A183C">
        <w:t>Omar had tried to convince an outsider to the group of the legitimacy of suicide bombings and other terrorist activity</w:t>
      </w:r>
      <w:r w:rsidR="00683183">
        <w:t xml:space="preserve"> an</w:t>
      </w:r>
      <w:r w:rsidR="007A6910">
        <w:t xml:space="preserve">d, on another occasion, </w:t>
      </w:r>
      <w:r w:rsidR="00683183">
        <w:t>had shouted at an imam who had condemn</w:t>
      </w:r>
      <w:r w:rsidR="004D2916">
        <w:t>ed</w:t>
      </w:r>
      <w:r w:rsidR="00683183">
        <w:t xml:space="preserve"> suicide bombings</w:t>
      </w:r>
      <w:r w:rsidR="00B61012" w:rsidRPr="001A183C">
        <w:t>.</w:t>
      </w:r>
      <w:r w:rsidR="00491FF5" w:rsidRPr="00B61012">
        <w:rPr>
          <w:b/>
        </w:rPr>
        <w:t xml:space="preserve"> </w:t>
      </w:r>
      <w:r w:rsidR="00DB2DA2">
        <w:t xml:space="preserve">Also introduced as evidence were jottings referring to martyrdom on the same pad of paper </w:t>
      </w:r>
      <w:r w:rsidR="00970E87">
        <w:t>that</w:t>
      </w:r>
      <w:r w:rsidR="00DB2DA2">
        <w:t xml:space="preserve"> had been used to note the amount of materials supposed to go into each bomb.</w:t>
      </w:r>
    </w:p>
    <w:bookmarkStart w:id="43" w:name="F3appsotherevbombmaking"/>
    <w:p w:rsidR="00DC6D6A" w:rsidRDefault="0082058A" w:rsidP="00491FF5">
      <w:pPr>
        <w:pStyle w:val="JuPara"/>
      </w:pPr>
      <w:r>
        <w:fldChar w:fldCharType="begin"/>
      </w:r>
      <w:r w:rsidR="00C04CCA">
        <w:instrText xml:space="preserve"> SEQ level0 \*arabic </w:instrText>
      </w:r>
      <w:r>
        <w:fldChar w:fldCharType="separate"/>
      </w:r>
      <w:r w:rsidR="00517F95">
        <w:rPr>
          <w:noProof/>
        </w:rPr>
        <w:t>72</w:t>
      </w:r>
      <w:r>
        <w:rPr>
          <w:noProof/>
        </w:rPr>
        <w:fldChar w:fldCharType="end"/>
      </w:r>
      <w:bookmarkEnd w:id="43"/>
      <w:r w:rsidR="00BE41E8">
        <w:t>.</w:t>
      </w:r>
      <w:r w:rsidR="00661205">
        <w:t>  </w:t>
      </w:r>
      <w:r w:rsidR="00491FF5" w:rsidRPr="00064917">
        <w:t xml:space="preserve">The prosecution </w:t>
      </w:r>
      <w:r w:rsidR="004D2916">
        <w:t>further</w:t>
      </w:r>
      <w:r w:rsidR="00491FF5" w:rsidRPr="00064917">
        <w:t xml:space="preserve"> relied on evidence as to the purchase of the material for the </w:t>
      </w:r>
      <w:r w:rsidR="00FF5438">
        <w:t>bombs and their</w:t>
      </w:r>
      <w:r w:rsidR="00491FF5" w:rsidRPr="00064917">
        <w:t xml:space="preserve"> </w:t>
      </w:r>
      <w:r w:rsidR="00FF5438">
        <w:t>preparation</w:t>
      </w:r>
      <w:r w:rsidR="00491FF5" w:rsidRPr="00064917">
        <w:t>. They establis</w:t>
      </w:r>
      <w:r w:rsidR="00491FF5">
        <w:t>hed that</w:t>
      </w:r>
      <w:r w:rsidR="00FF5438">
        <w:t>,</w:t>
      </w:r>
      <w:r w:rsidR="00491FF5">
        <w:t xml:space="preserve"> between 28 April and 5</w:t>
      </w:r>
      <w:r w:rsidR="004D2916">
        <w:t xml:space="preserve"> </w:t>
      </w:r>
      <w:r w:rsidR="00491FF5" w:rsidRPr="00064917">
        <w:t>July</w:t>
      </w:r>
      <w:r w:rsidR="007446E6">
        <w:t xml:space="preserve"> 2005</w:t>
      </w:r>
      <w:r w:rsidR="00491FF5" w:rsidRPr="00064917">
        <w:t>, 443 litres of liquid hydrogen peroxide at a</w:t>
      </w:r>
      <w:r w:rsidR="00A41E8C">
        <w:t xml:space="preserve"> low</w:t>
      </w:r>
      <w:r w:rsidR="00491FF5" w:rsidRPr="00064917">
        <w:t xml:space="preserve"> concentration had been purchased from three shops in north London in a total of 284</w:t>
      </w:r>
      <w:r w:rsidR="0017407D">
        <w:t xml:space="preserve"> </w:t>
      </w:r>
      <w:r w:rsidR="00491FF5" w:rsidRPr="00064917">
        <w:t xml:space="preserve">containers </w:t>
      </w:r>
      <w:r w:rsidR="00A6455A">
        <w:t>by Mr Asiedu, Mr Ibrahim and Mr</w:t>
      </w:r>
      <w:r w:rsidR="0017407D">
        <w:t xml:space="preserve"> </w:t>
      </w:r>
      <w:r w:rsidR="00491FF5" w:rsidRPr="00064917">
        <w:t xml:space="preserve">Omar. There was evidence that they had </w:t>
      </w:r>
      <w:r w:rsidR="004D2916">
        <w:t xml:space="preserve">initially </w:t>
      </w:r>
      <w:r w:rsidR="00491FF5" w:rsidRPr="00064917">
        <w:t xml:space="preserve">requested liquid hydrogen peroxide at </w:t>
      </w:r>
      <w:r w:rsidR="00A41E8C">
        <w:t xml:space="preserve">a </w:t>
      </w:r>
      <w:r w:rsidR="003D1B82">
        <w:t xml:space="preserve">much </w:t>
      </w:r>
      <w:r w:rsidR="00A41E8C">
        <w:t>higher</w:t>
      </w:r>
      <w:r w:rsidR="00491FF5" w:rsidRPr="00064917">
        <w:t xml:space="preserve"> strength</w:t>
      </w:r>
      <w:r w:rsidR="003D1B82">
        <w:t xml:space="preserve"> at or near the strength necessary to enable explosion</w:t>
      </w:r>
      <w:r w:rsidR="007C6389">
        <w:t xml:space="preserve"> and that </w:t>
      </w:r>
      <w:r w:rsidR="00491FF5" w:rsidRPr="00064917">
        <w:t xml:space="preserve">they had boiled the hydrogen peroxide to increase its concentration. A number of the empty bottles later recovered had handwritten </w:t>
      </w:r>
      <w:r w:rsidR="00A41E8C">
        <w:t xml:space="preserve">numerical </w:t>
      </w:r>
      <w:r w:rsidR="00491FF5" w:rsidRPr="00064917">
        <w:t xml:space="preserve">markings on them, which the prosecution contended was </w:t>
      </w:r>
      <w:r w:rsidR="007C6389">
        <w:t>proof</w:t>
      </w:r>
      <w:r w:rsidR="00491FF5" w:rsidRPr="00064917">
        <w:t xml:space="preserve"> that the defendants believed that </w:t>
      </w:r>
      <w:r w:rsidR="00A41E8C">
        <w:t xml:space="preserve">the requisite </w:t>
      </w:r>
      <w:r w:rsidR="00491FF5" w:rsidRPr="00064917">
        <w:t xml:space="preserve">concentration </w:t>
      </w:r>
      <w:r w:rsidR="00A41E8C">
        <w:t>for explosion</w:t>
      </w:r>
      <w:r w:rsidR="00A41E8C" w:rsidRPr="00064917">
        <w:t xml:space="preserve"> </w:t>
      </w:r>
      <w:r w:rsidR="00491FF5" w:rsidRPr="00064917">
        <w:t xml:space="preserve">had been reached. </w:t>
      </w:r>
      <w:r w:rsidR="007C6389">
        <w:t xml:space="preserve">A rota showed </w:t>
      </w:r>
      <w:r w:rsidR="00DB2DA2">
        <w:t>over 200 hours</w:t>
      </w:r>
      <w:r w:rsidR="005E7B7A">
        <w:t>’</w:t>
      </w:r>
      <w:r w:rsidR="00DB2DA2">
        <w:t xml:space="preserve"> work</w:t>
      </w:r>
      <w:r w:rsidR="0017407D">
        <w:t xml:space="preserve"> boiling the hydrogen peroxide.</w:t>
      </w:r>
    </w:p>
    <w:bookmarkStart w:id="44" w:name="F3appsotherevscientific"/>
    <w:p w:rsidR="007A705F" w:rsidRDefault="0082058A" w:rsidP="00DC6D6A">
      <w:pPr>
        <w:pStyle w:val="JuPara"/>
      </w:pPr>
      <w:r>
        <w:fldChar w:fldCharType="begin"/>
      </w:r>
      <w:r w:rsidR="00C04CCA">
        <w:instrText xml:space="preserve"> SEQ level0 \*arabic </w:instrText>
      </w:r>
      <w:r>
        <w:fldChar w:fldCharType="separate"/>
      </w:r>
      <w:r w:rsidR="00517F95">
        <w:rPr>
          <w:noProof/>
        </w:rPr>
        <w:t>73</w:t>
      </w:r>
      <w:r>
        <w:rPr>
          <w:noProof/>
        </w:rPr>
        <w:fldChar w:fldCharType="end"/>
      </w:r>
      <w:bookmarkEnd w:id="44"/>
      <w:r w:rsidR="00DC6D6A">
        <w:t>.</w:t>
      </w:r>
      <w:r w:rsidR="00661205">
        <w:t>  </w:t>
      </w:r>
      <w:r w:rsidR="000655EF">
        <w:t xml:space="preserve">Scientific evidence was also led as </w:t>
      </w:r>
      <w:r w:rsidR="00A6455A">
        <w:t xml:space="preserve">to </w:t>
      </w:r>
      <w:r w:rsidR="000655EF">
        <w:t xml:space="preserve">the construction of the </w:t>
      </w:r>
      <w:r w:rsidR="00FF5438">
        <w:t>bombs</w:t>
      </w:r>
      <w:r w:rsidR="007C6389">
        <w:t>, which had been put</w:t>
      </w:r>
      <w:r w:rsidR="000655EF">
        <w:t xml:space="preserve"> in rucksacks adapted for the purpose. The detonator </w:t>
      </w:r>
      <w:r w:rsidR="00FF5438">
        <w:t xml:space="preserve">was </w:t>
      </w:r>
      <w:r w:rsidR="000655EF">
        <w:t>encased in paper from an A4 pad. S</w:t>
      </w:r>
      <w:r w:rsidR="00491FF5" w:rsidRPr="00064917">
        <w:t>hrapnel had been added to the devices, which would have increased fragmentation upon explosion and maximised the possibility of injury.</w:t>
      </w:r>
      <w:r w:rsidR="00BB1775">
        <w:t xml:space="preserve"> </w:t>
      </w:r>
      <w:r w:rsidR="007C6389">
        <w:t>Both</w:t>
      </w:r>
      <w:r w:rsidR="007A705F">
        <w:t xml:space="preserve"> prosecution and defence experts </w:t>
      </w:r>
      <w:r w:rsidR="00206D8A">
        <w:t xml:space="preserve">agreed that the </w:t>
      </w:r>
      <w:r w:rsidR="00FF5438">
        <w:t>bombs</w:t>
      </w:r>
      <w:r w:rsidR="00206D8A">
        <w:t xml:space="preserve"> were not viable. The prosecution</w:t>
      </w:r>
      <w:r w:rsidR="005E7B7A">
        <w:t>’</w:t>
      </w:r>
      <w:r w:rsidR="00206D8A">
        <w:t xml:space="preserve">s expert </w:t>
      </w:r>
      <w:r w:rsidR="007446E6">
        <w:t>explained</w:t>
      </w:r>
      <w:r w:rsidR="00206D8A">
        <w:t xml:space="preserve"> that</w:t>
      </w:r>
      <w:r w:rsidR="00FF5438">
        <w:t xml:space="preserve"> this was because</w:t>
      </w:r>
      <w:r w:rsidR="00206D8A">
        <w:t xml:space="preserve"> the hydrogen peroxide had not </w:t>
      </w:r>
      <w:r w:rsidR="00A41E8C">
        <w:t xml:space="preserve">reached </w:t>
      </w:r>
      <w:r w:rsidR="00206D8A">
        <w:t xml:space="preserve">the necessary </w:t>
      </w:r>
      <w:r w:rsidR="00A41E8C">
        <w:t>concentration</w:t>
      </w:r>
      <w:r w:rsidR="009D2E51">
        <w:t xml:space="preserve"> required for explosion</w:t>
      </w:r>
      <w:r w:rsidR="00206D8A">
        <w:t xml:space="preserve">. </w:t>
      </w:r>
      <w:r w:rsidR="009D2E51">
        <w:t>He noted that i</w:t>
      </w:r>
      <w:r w:rsidR="00206D8A">
        <w:t xml:space="preserve">t would have been difficult for those constructing the </w:t>
      </w:r>
      <w:r w:rsidR="00FF5438">
        <w:t>bombs</w:t>
      </w:r>
      <w:r w:rsidR="00206D8A">
        <w:t xml:space="preserve"> to have measured the streng</w:t>
      </w:r>
      <w:r w:rsidR="009D2E51">
        <w:t>th of the hydrogen peroxide but pointed out that,</w:t>
      </w:r>
      <w:r w:rsidR="00206D8A">
        <w:t xml:space="preserve"> if the purpose had only been an hoax, n</w:t>
      </w:r>
      <w:r w:rsidR="00FF5438">
        <w:t>o</w:t>
      </w:r>
      <w:r w:rsidR="00206D8A">
        <w:t xml:space="preserve"> increase in </w:t>
      </w:r>
      <w:r w:rsidR="00FF5438">
        <w:t xml:space="preserve">hydrogen peroxide </w:t>
      </w:r>
      <w:r w:rsidR="00206D8A">
        <w:t xml:space="preserve">concentration would have been necessary: at the initial </w:t>
      </w:r>
      <w:r w:rsidR="00A41E8C">
        <w:t xml:space="preserve">low </w:t>
      </w:r>
      <w:r w:rsidR="00206D8A">
        <w:t>concentration or with a banger in</w:t>
      </w:r>
      <w:r w:rsidR="00FF5438">
        <w:t>serted into the</w:t>
      </w:r>
      <w:r w:rsidR="00206D8A">
        <w:t xml:space="preserve"> mix, the same impression of noise would have been produced. In response to the defence claim that the hydrogen peroxide had been concentrated and then diluted again with tap water</w:t>
      </w:r>
      <w:r w:rsidR="00FF5438" w:rsidRPr="00FF5438">
        <w:t xml:space="preserve"> </w:t>
      </w:r>
      <w:r w:rsidR="00FF5438">
        <w:t xml:space="preserve">(see paragraph </w:t>
      </w:r>
      <w:r>
        <w:fldChar w:fldCharType="begin"/>
      </w:r>
      <w:r w:rsidR="00FF5438">
        <w:instrText xml:space="preserve"> REF defencecase \h </w:instrText>
      </w:r>
      <w:r>
        <w:fldChar w:fldCharType="separate"/>
      </w:r>
      <w:r w:rsidR="00517F95">
        <w:rPr>
          <w:noProof/>
        </w:rPr>
        <w:t>77</w:t>
      </w:r>
      <w:r>
        <w:fldChar w:fldCharType="end"/>
      </w:r>
      <w:r w:rsidR="00FF5438">
        <w:t xml:space="preserve"> below)</w:t>
      </w:r>
      <w:r w:rsidR="00206D8A">
        <w:t xml:space="preserve">, analysis of the isotope composition of London tap water </w:t>
      </w:r>
      <w:r w:rsidR="00FF5438">
        <w:t>showed</w:t>
      </w:r>
      <w:r w:rsidR="007C6389">
        <w:t xml:space="preserve"> that</w:t>
      </w:r>
      <w:r w:rsidR="00206D8A">
        <w:t xml:space="preserve"> this was not possible.</w:t>
      </w:r>
    </w:p>
    <w:bookmarkStart w:id="45" w:name="F3appsotherevcontacts"/>
    <w:p w:rsidR="00A6455A" w:rsidRDefault="0082058A" w:rsidP="00A6455A">
      <w:pPr>
        <w:pStyle w:val="JuPara"/>
      </w:pPr>
      <w:r>
        <w:lastRenderedPageBreak/>
        <w:fldChar w:fldCharType="begin"/>
      </w:r>
      <w:r w:rsidR="00C04CCA">
        <w:instrText xml:space="preserve"> SEQ level0 \*arabic </w:instrText>
      </w:r>
      <w:r>
        <w:fldChar w:fldCharType="separate"/>
      </w:r>
      <w:r w:rsidR="00517F95">
        <w:rPr>
          <w:noProof/>
        </w:rPr>
        <w:t>74</w:t>
      </w:r>
      <w:r>
        <w:rPr>
          <w:noProof/>
        </w:rPr>
        <w:fldChar w:fldCharType="end"/>
      </w:r>
      <w:bookmarkEnd w:id="45"/>
      <w:r w:rsidR="00A6455A">
        <w:t>.</w:t>
      </w:r>
      <w:r w:rsidR="00661205">
        <w:t>  </w:t>
      </w:r>
      <w:r w:rsidR="00A6455A">
        <w:t>The prosecution also referred to telephone and CCTV evidence of extensive contacts between the men primarily before, but also after, 21 July 2005.</w:t>
      </w:r>
    </w:p>
    <w:bookmarkStart w:id="46" w:name="F3appsotherevfarewell"/>
    <w:p w:rsidR="00DC6D6A" w:rsidRDefault="0082058A" w:rsidP="00DC6D6A">
      <w:pPr>
        <w:pStyle w:val="JuPara"/>
      </w:pPr>
      <w:r>
        <w:fldChar w:fldCharType="begin"/>
      </w:r>
      <w:r w:rsidR="00C04CCA">
        <w:instrText xml:space="preserve"> SEQ level0 \*arabic </w:instrText>
      </w:r>
      <w:r>
        <w:fldChar w:fldCharType="separate"/>
      </w:r>
      <w:r w:rsidR="00517F95">
        <w:rPr>
          <w:noProof/>
        </w:rPr>
        <w:t>75</w:t>
      </w:r>
      <w:r>
        <w:rPr>
          <w:noProof/>
        </w:rPr>
        <w:fldChar w:fldCharType="end"/>
      </w:r>
      <w:bookmarkEnd w:id="46"/>
      <w:r w:rsidR="00DC6D6A">
        <w:t>.</w:t>
      </w:r>
      <w:r w:rsidR="00661205">
        <w:t>  </w:t>
      </w:r>
      <w:r w:rsidR="0020279D">
        <w:t>A</w:t>
      </w:r>
      <w:r w:rsidR="00DC6D6A" w:rsidRPr="00064917">
        <w:t xml:space="preserve"> farewell letter written by Mr Mohammed, which the prosecution alleged was a suicide note, </w:t>
      </w:r>
      <w:r w:rsidR="007C6389">
        <w:t>was also admitted in evidence</w:t>
      </w:r>
      <w:r w:rsidR="00DC6D6A" w:rsidRPr="00064917">
        <w:t>.</w:t>
      </w:r>
      <w:r w:rsidR="00DC6D6A">
        <w:t xml:space="preserve"> </w:t>
      </w:r>
      <w:r w:rsidR="007C6389">
        <w:t>It</w:t>
      </w:r>
      <w:r w:rsidR="000655EF">
        <w:t xml:space="preserve"> was alleged</w:t>
      </w:r>
      <w:r w:rsidR="00D86D7E">
        <w:t xml:space="preserve"> </w:t>
      </w:r>
      <w:r w:rsidR="000655EF">
        <w:t>to have come from the sa</w:t>
      </w:r>
      <w:r w:rsidR="007C6389">
        <w:t xml:space="preserve">me pad </w:t>
      </w:r>
      <w:r w:rsidR="009D2E51">
        <w:t xml:space="preserve">of paper </w:t>
      </w:r>
      <w:r w:rsidR="007C6389">
        <w:t xml:space="preserve">as had been used for </w:t>
      </w:r>
      <w:r w:rsidR="000655EF">
        <w:t xml:space="preserve">encasing the </w:t>
      </w:r>
      <w:r w:rsidR="007C6389">
        <w:t>detonator</w:t>
      </w:r>
      <w:r w:rsidR="00D86D7E">
        <w:t xml:space="preserve"> in the bombs</w:t>
      </w:r>
      <w:r w:rsidR="000655EF">
        <w:t>.</w:t>
      </w:r>
      <w:r w:rsidR="007A705F">
        <w:t xml:space="preserve"> </w:t>
      </w:r>
      <w:r w:rsidR="007C6389">
        <w:t>A</w:t>
      </w:r>
      <w:r w:rsidR="007A705F">
        <w:t xml:space="preserve"> witness gave evidence that h</w:t>
      </w:r>
      <w:r w:rsidR="007C6389">
        <w:t>e had received the letter on 21</w:t>
      </w:r>
      <w:r w:rsidR="0017407D">
        <w:t xml:space="preserve"> </w:t>
      </w:r>
      <w:r w:rsidR="007A705F">
        <w:t xml:space="preserve">July </w:t>
      </w:r>
      <w:r w:rsidR="007C6389">
        <w:t xml:space="preserve">2005 </w:t>
      </w:r>
      <w:r w:rsidR="007A705F">
        <w:t>from Mr Mohammed</w:t>
      </w:r>
      <w:r w:rsidR="005E7B7A">
        <w:t>’</w:t>
      </w:r>
      <w:r w:rsidR="007A705F">
        <w:t xml:space="preserve">s brother and </w:t>
      </w:r>
      <w:r w:rsidR="00717B59">
        <w:t>ha</w:t>
      </w:r>
      <w:r w:rsidR="007C6389">
        <w:t>d</w:t>
      </w:r>
      <w:r w:rsidR="00717B59">
        <w:t xml:space="preserve"> been</w:t>
      </w:r>
      <w:r w:rsidR="007A705F">
        <w:t xml:space="preserve"> asked to pass it on to Mr Mohammed</w:t>
      </w:r>
      <w:r w:rsidR="005E7B7A">
        <w:t>’</w:t>
      </w:r>
      <w:r w:rsidR="007A705F">
        <w:t>s partner.</w:t>
      </w:r>
    </w:p>
    <w:bookmarkStart w:id="47" w:name="F3appsotherevpassengers"/>
    <w:p w:rsidR="0020279D" w:rsidRPr="00FF5438" w:rsidRDefault="0082058A" w:rsidP="00DC6D6A">
      <w:pPr>
        <w:pStyle w:val="JuPara"/>
      </w:pPr>
      <w:r>
        <w:fldChar w:fldCharType="begin"/>
      </w:r>
      <w:r w:rsidR="00C04CCA">
        <w:instrText xml:space="preserve"> SEQ level0 \*arabic </w:instrText>
      </w:r>
      <w:r>
        <w:fldChar w:fldCharType="separate"/>
      </w:r>
      <w:r w:rsidR="00517F95">
        <w:rPr>
          <w:noProof/>
        </w:rPr>
        <w:t>76</w:t>
      </w:r>
      <w:r>
        <w:rPr>
          <w:noProof/>
        </w:rPr>
        <w:fldChar w:fldCharType="end"/>
      </w:r>
      <w:bookmarkEnd w:id="47"/>
      <w:r w:rsidR="0020279D" w:rsidRPr="00FF5438">
        <w:t>.</w:t>
      </w:r>
      <w:r w:rsidR="00661205">
        <w:t>  </w:t>
      </w:r>
      <w:r w:rsidR="0020279D" w:rsidRPr="00FF5438">
        <w:t>T</w:t>
      </w:r>
      <w:r w:rsidR="00317BFA">
        <w:t xml:space="preserve">he jury also heard evidence from passengers </w:t>
      </w:r>
      <w:r w:rsidR="00717B59">
        <w:t>on</w:t>
      </w:r>
      <w:r w:rsidR="00317BFA">
        <w:t xml:space="preserve"> the trains whe</w:t>
      </w:r>
      <w:r w:rsidR="00717B59">
        <w:t>re</w:t>
      </w:r>
      <w:r w:rsidR="00317BFA">
        <w:t xml:space="preserve"> </w:t>
      </w:r>
      <w:r w:rsidR="00717B59">
        <w:t>three</w:t>
      </w:r>
      <w:r w:rsidR="00317BFA">
        <w:t xml:space="preserve"> of the bombs </w:t>
      </w:r>
      <w:r w:rsidR="00717B59">
        <w:t>had been detonated</w:t>
      </w:r>
      <w:r w:rsidR="007C6389">
        <w:t>. One gave evidence of Mr </w:t>
      </w:r>
      <w:r w:rsidR="00317BFA">
        <w:t>Mohammed mumbling nervously to himself on the platform, another of him shouting “this is wrong, this is wrong” after the detonation of his bomb, stil</w:t>
      </w:r>
      <w:r w:rsidR="00717B59">
        <w:t>l other</w:t>
      </w:r>
      <w:r w:rsidR="007C6389">
        <w:t>s</w:t>
      </w:r>
      <w:r w:rsidR="00717B59">
        <w:t xml:space="preserve"> of his look of surprise, </w:t>
      </w:r>
      <w:r w:rsidR="00317BFA">
        <w:t>confus</w:t>
      </w:r>
      <w:r w:rsidR="00717B59">
        <w:t>ion</w:t>
      </w:r>
      <w:r w:rsidR="00317BFA">
        <w:t xml:space="preserve"> and panic afterwards.</w:t>
      </w:r>
      <w:r w:rsidR="007F381D">
        <w:t xml:space="preserve"> In respect of Mr Omar, passengers </w:t>
      </w:r>
      <w:r w:rsidR="00717B59">
        <w:t>gave</w:t>
      </w:r>
      <w:r w:rsidR="007F381D">
        <w:t xml:space="preserve"> evidence of his surprise and fear. Two witnesses he encountered during his escape gave evidence</w:t>
      </w:r>
      <w:r w:rsidR="00717B59">
        <w:t xml:space="preserve"> that</w:t>
      </w:r>
      <w:r w:rsidR="007F381D">
        <w:t xml:space="preserve"> he had asked </w:t>
      </w:r>
      <w:r w:rsidR="00717B59">
        <w:t xml:space="preserve">them </w:t>
      </w:r>
      <w:r w:rsidR="007F381D">
        <w:t xml:space="preserve">for help and had told them he had been injured in a bomb attack or explosion. In respect of Mr Ibrahim, </w:t>
      </w:r>
      <w:r w:rsidR="00717B59">
        <w:t xml:space="preserve">the bus driver who had been in charge of the bus </w:t>
      </w:r>
      <w:r w:rsidR="00885BA4">
        <w:t>on which</w:t>
      </w:r>
      <w:r w:rsidR="00717B59">
        <w:t xml:space="preserve"> Mr Ibrahim</w:t>
      </w:r>
      <w:r w:rsidR="005E7B7A">
        <w:t>’</w:t>
      </w:r>
      <w:r w:rsidR="00717B59">
        <w:t>s detonation took place gave evidence of Mr Ibrahim</w:t>
      </w:r>
      <w:r w:rsidR="005E7B7A">
        <w:t>’</w:t>
      </w:r>
      <w:r w:rsidR="00717B59">
        <w:t>s</w:t>
      </w:r>
      <w:r w:rsidR="007F381D">
        <w:t xml:space="preserve"> ne</w:t>
      </w:r>
      <w:r w:rsidR="0017407D">
        <w:t>rvousness in boarding the bus.</w:t>
      </w:r>
    </w:p>
    <w:p w:rsidR="00BE41E8" w:rsidRDefault="004B5D48" w:rsidP="00A6455A">
      <w:pPr>
        <w:pStyle w:val="ECHRHeading4"/>
      </w:pPr>
      <w:r>
        <w:t>(</w:t>
      </w:r>
      <w:r w:rsidR="00A6455A">
        <w:t>c</w:t>
      </w:r>
      <w:r>
        <w:t>)</w:t>
      </w:r>
      <w:r w:rsidR="00661205">
        <w:t>  </w:t>
      </w:r>
      <w:r w:rsidR="00BE41E8">
        <w:t>The defence evidence</w:t>
      </w:r>
    </w:p>
    <w:bookmarkStart w:id="48" w:name="defencecase"/>
    <w:p w:rsidR="00491FF5" w:rsidRPr="00064917" w:rsidRDefault="0082058A" w:rsidP="00491FF5">
      <w:pPr>
        <w:pStyle w:val="JuPara"/>
      </w:pPr>
      <w:r>
        <w:fldChar w:fldCharType="begin"/>
      </w:r>
      <w:r w:rsidR="005E5D2E">
        <w:instrText xml:space="preserve"> SEQ level0 \*arabic </w:instrText>
      </w:r>
      <w:r>
        <w:fldChar w:fldCharType="separate"/>
      </w:r>
      <w:r w:rsidR="00517F95">
        <w:rPr>
          <w:noProof/>
        </w:rPr>
        <w:t>77</w:t>
      </w:r>
      <w:r>
        <w:fldChar w:fldCharType="end"/>
      </w:r>
      <w:bookmarkEnd w:id="48"/>
      <w:r w:rsidR="005E5D2E">
        <w:t>.</w:t>
      </w:r>
      <w:r w:rsidR="00661205">
        <w:t>  </w:t>
      </w:r>
      <w:r w:rsidR="00491FF5" w:rsidRPr="00064917">
        <w:t>The applicants gave evidence to the effect that their a</w:t>
      </w:r>
      <w:r w:rsidR="007C6389">
        <w:t xml:space="preserve">ctions were intended as a hoax. </w:t>
      </w:r>
      <w:r w:rsidR="00165734">
        <w:t xml:space="preserve">They had initially </w:t>
      </w:r>
      <w:r w:rsidR="007C6389">
        <w:t>planned</w:t>
      </w:r>
      <w:r w:rsidR="00165734">
        <w:t xml:space="preserve"> to leave the bombs unattended in public to make a point about the Iraq war</w:t>
      </w:r>
      <w:r w:rsidR="007C6389">
        <w:t>. A</w:t>
      </w:r>
      <w:r w:rsidR="00165734">
        <w:t>fter the events of 7 July, the plan change</w:t>
      </w:r>
      <w:r w:rsidR="00885BA4">
        <w:t>d</w:t>
      </w:r>
      <w:r w:rsidR="00165734">
        <w:t xml:space="preserve"> to </w:t>
      </w:r>
      <w:r w:rsidR="00885BA4">
        <w:t>detonating</w:t>
      </w:r>
      <w:r w:rsidR="00165734">
        <w:t xml:space="preserve"> the bombs but not the main charge</w:t>
      </w:r>
      <w:r w:rsidR="00885BA4">
        <w:t xml:space="preserve"> of hydrogen peroxide</w:t>
      </w:r>
      <w:r w:rsidR="00165734">
        <w:t>. To this end, t</w:t>
      </w:r>
      <w:r w:rsidR="003F6B6F">
        <w:t>hey</w:t>
      </w:r>
      <w:r w:rsidR="008256C9">
        <w:t xml:space="preserve"> maintained that</w:t>
      </w:r>
      <w:r w:rsidR="003F6B6F">
        <w:t xml:space="preserve">, although they had tried to concentrate the hydrogen peroxide by boiling it, they had then watered it down so that it would no longer be at the necessary </w:t>
      </w:r>
      <w:r w:rsidR="00FF073B">
        <w:t xml:space="preserve">concentration for an explosion. Mr Ibrahim gave evidence that he had not intended to detonate his bomb on the bus; it had gone off accidentally as he felt for the battery in order to try and remove it. </w:t>
      </w:r>
      <w:r w:rsidR="003A1B3F">
        <w:t xml:space="preserve">Mr Mohammed explained his farewell letter saying that it had </w:t>
      </w:r>
      <w:r w:rsidR="00771816">
        <w:t xml:space="preserve">in fact </w:t>
      </w:r>
      <w:r w:rsidR="003A1B3F">
        <w:t>been written on 23 July</w:t>
      </w:r>
      <w:r w:rsidR="00771816">
        <w:t xml:space="preserve"> after the </w:t>
      </w:r>
      <w:r w:rsidR="00B3522B">
        <w:t>shooting of the man mistaken for one of the suspects</w:t>
      </w:r>
      <w:r w:rsidR="00771816">
        <w:t xml:space="preserve"> (see paragraph </w:t>
      </w:r>
      <w:r>
        <w:fldChar w:fldCharType="begin"/>
      </w:r>
      <w:r w:rsidR="007A705F">
        <w:instrText xml:space="preserve"> REF JCdeM \h </w:instrText>
      </w:r>
      <w:r>
        <w:fldChar w:fldCharType="separate"/>
      </w:r>
      <w:r w:rsidR="00517F95">
        <w:rPr>
          <w:noProof/>
        </w:rPr>
        <w:t>11</w:t>
      </w:r>
      <w:r>
        <w:fldChar w:fldCharType="end"/>
      </w:r>
      <w:r w:rsidR="007A705F">
        <w:t xml:space="preserve"> </w:t>
      </w:r>
      <w:r w:rsidR="00771816">
        <w:t>above) because he thought</w:t>
      </w:r>
      <w:r w:rsidR="00A6455A">
        <w:t xml:space="preserve"> that</w:t>
      </w:r>
      <w:r w:rsidR="00771816">
        <w:t xml:space="preserve"> he </w:t>
      </w:r>
      <w:r w:rsidR="00FF5438">
        <w:t xml:space="preserve">too </w:t>
      </w:r>
      <w:r w:rsidR="00771816">
        <w:t xml:space="preserve">would be shot by the police. </w:t>
      </w:r>
      <w:r w:rsidR="007A705F">
        <w:t xml:space="preserve">It was pure coincidence that it was written on the same pad as that used for the </w:t>
      </w:r>
      <w:r w:rsidR="007F47C8">
        <w:t>detonator</w:t>
      </w:r>
      <w:r w:rsidR="00BD70E6">
        <w:t>.</w:t>
      </w:r>
    </w:p>
    <w:bookmarkStart w:id="49" w:name="F3appsotherevasiedu"/>
    <w:p w:rsidR="00491FF5" w:rsidRDefault="0082058A" w:rsidP="00491FF5">
      <w:pPr>
        <w:pStyle w:val="JuPara"/>
      </w:pPr>
      <w:r>
        <w:fldChar w:fldCharType="begin"/>
      </w:r>
      <w:r w:rsidR="00C04CCA">
        <w:instrText xml:space="preserve"> SEQ level0 \*arabic </w:instrText>
      </w:r>
      <w:r>
        <w:fldChar w:fldCharType="separate"/>
      </w:r>
      <w:r w:rsidR="00517F95">
        <w:rPr>
          <w:noProof/>
        </w:rPr>
        <w:t>78</w:t>
      </w:r>
      <w:r>
        <w:rPr>
          <w:noProof/>
        </w:rPr>
        <w:fldChar w:fldCharType="end"/>
      </w:r>
      <w:bookmarkEnd w:id="49"/>
      <w:r w:rsidR="005E5D2E">
        <w:t>.</w:t>
      </w:r>
      <w:r w:rsidR="00661205">
        <w:t>  </w:t>
      </w:r>
      <w:r w:rsidR="00491FF5" w:rsidRPr="00064917">
        <w:t xml:space="preserve">Like the </w:t>
      </w:r>
      <w:r w:rsidR="007106BF">
        <w:t xml:space="preserve">first three </w:t>
      </w:r>
      <w:r w:rsidR="00491FF5" w:rsidRPr="00064917">
        <w:t>applicants, Mr Asiedu</w:t>
      </w:r>
      <w:r w:rsidR="005E7B7A">
        <w:t>’</w:t>
      </w:r>
      <w:r w:rsidR="00491FF5" w:rsidRPr="00064917">
        <w:t>s case prior to trial was that the events of 21 July 2005 were a hoax. However, after Mr Ibrahim had given evidence, Mr Asiedu gave oral evidence and changed his previous position. He claimed to have learned on the morning of 21 July 2005 that the devices were real bombs. He was too confused and frightened to refuse the device that was handed to him but</w:t>
      </w:r>
      <w:r w:rsidR="00885BA4">
        <w:t>,</w:t>
      </w:r>
      <w:r w:rsidR="00491FF5" w:rsidRPr="00064917">
        <w:t xml:space="preserve"> in accepting it, he did not intend to join or play any part in the conspiracy.</w:t>
      </w:r>
    </w:p>
    <w:p w:rsidR="00491FF5" w:rsidRPr="00064917" w:rsidRDefault="004B5D48" w:rsidP="00A6455A">
      <w:pPr>
        <w:pStyle w:val="ECHRHeading4"/>
      </w:pPr>
      <w:r>
        <w:lastRenderedPageBreak/>
        <w:t>(</w:t>
      </w:r>
      <w:r w:rsidR="006200D4">
        <w:t>d</w:t>
      </w:r>
      <w:r>
        <w:t>)</w:t>
      </w:r>
      <w:r w:rsidR="00661205">
        <w:t>  </w:t>
      </w:r>
      <w:r w:rsidR="00491FF5" w:rsidRPr="00064917">
        <w:t>The summing-up</w:t>
      </w:r>
    </w:p>
    <w:bookmarkStart w:id="50" w:name="Fulfordsummingup1"/>
    <w:p w:rsidR="00491FF5" w:rsidRDefault="0082058A" w:rsidP="00491FF5">
      <w:pPr>
        <w:pStyle w:val="JuPara"/>
      </w:pPr>
      <w:r>
        <w:fldChar w:fldCharType="begin"/>
      </w:r>
      <w:r w:rsidR="009E3365">
        <w:instrText xml:space="preserve"> SEQ level0 \*arabic </w:instrText>
      </w:r>
      <w:r>
        <w:fldChar w:fldCharType="separate"/>
      </w:r>
      <w:r w:rsidR="00517F95">
        <w:rPr>
          <w:noProof/>
        </w:rPr>
        <w:t>79</w:t>
      </w:r>
      <w:r>
        <w:fldChar w:fldCharType="end"/>
      </w:r>
      <w:bookmarkEnd w:id="50"/>
      <w:r w:rsidR="009E3365">
        <w:t>.</w:t>
      </w:r>
      <w:r w:rsidR="00661205">
        <w:t>  </w:t>
      </w:r>
      <w:r w:rsidR="00A67836">
        <w:t xml:space="preserve">During </w:t>
      </w:r>
      <w:r w:rsidR="00392E0D">
        <w:t>his</w:t>
      </w:r>
      <w:r w:rsidR="00A67836">
        <w:t xml:space="preserve"> summing up</w:t>
      </w:r>
      <w:r w:rsidR="00392E0D">
        <w:t xml:space="preserve"> to the jury</w:t>
      </w:r>
      <w:r w:rsidR="00A67836">
        <w:t xml:space="preserve">, </w:t>
      </w:r>
      <w:r w:rsidR="007F47C8">
        <w:t>the judge gave the</w:t>
      </w:r>
      <w:r w:rsidR="00392E0D">
        <w:t xml:space="preserve"> following direction in respect of the statements made in the safety interviews:</w:t>
      </w:r>
    </w:p>
    <w:p w:rsidR="00560D3E" w:rsidRDefault="00392E0D" w:rsidP="009F653C">
      <w:pPr>
        <w:pStyle w:val="ECHRParaQuote"/>
      </w:pPr>
      <w:r>
        <w:t>“</w:t>
      </w:r>
      <w:r w:rsidR="00870741">
        <w:t>What about the lies, members of the jury, told by some defendants to the police? It is admitted that the</w:t>
      </w:r>
      <w:r w:rsidR="009F653C">
        <w:t xml:space="preserve"> </w:t>
      </w:r>
      <w:r w:rsidR="00870741">
        <w:t>defendants Ibrahim, Asiedu, Omar and Mohamed lied to the</w:t>
      </w:r>
      <w:r w:rsidR="00BB1775">
        <w:t xml:space="preserve"> </w:t>
      </w:r>
      <w:r w:rsidR="00870741">
        <w:t xml:space="preserve">police in different ways during their interviews. </w:t>
      </w:r>
      <w:r w:rsidR="00C91245">
        <w:t>...</w:t>
      </w:r>
      <w:r w:rsidR="00870741">
        <w:t xml:space="preserve"> </w:t>
      </w:r>
      <w:r w:rsidR="007F47C8">
        <w:t>[B]</w:t>
      </w:r>
      <w:r w:rsidR="00870741">
        <w:t>efore you even begin to take any lies</w:t>
      </w:r>
      <w:r w:rsidR="00BB1775">
        <w:t xml:space="preserve"> </w:t>
      </w:r>
      <w:r w:rsidR="00870741">
        <w:t>into consideration, you must pay careful attention to</w:t>
      </w:r>
      <w:r w:rsidR="00CC7DA6">
        <w:t xml:space="preserve"> </w:t>
      </w:r>
      <w:r w:rsidR="00870741">
        <w:t>the circumstances in which the lies were told and those</w:t>
      </w:r>
      <w:r w:rsidR="00BB1775">
        <w:t xml:space="preserve"> </w:t>
      </w:r>
      <w:r w:rsidR="00870741">
        <w:t>circumstances vary between the defendants.</w:t>
      </w:r>
    </w:p>
    <w:p w:rsidR="00CC7DA6" w:rsidRDefault="00870741" w:rsidP="009F653C">
      <w:pPr>
        <w:pStyle w:val="ECHRParaQuote"/>
      </w:pPr>
      <w:r>
        <w:t>First, you will recall that because of the</w:t>
      </w:r>
      <w:r w:rsidR="00BB1775">
        <w:t xml:space="preserve"> </w:t>
      </w:r>
      <w:r>
        <w:t>exceptional circumstances that existed in July 2005</w:t>
      </w:r>
      <w:r w:rsidR="00BB1775">
        <w:t xml:space="preserve"> </w:t>
      </w:r>
      <w:r>
        <w:t>safety interviews were authorised in the cases of</w:t>
      </w:r>
      <w:r w:rsidR="00BB1775">
        <w:t xml:space="preserve"> </w:t>
      </w:r>
      <w:r>
        <w:t>Ibrahim, Omar and Mohamed. That meant that those</w:t>
      </w:r>
      <w:r w:rsidR="00BB1775">
        <w:t xml:space="preserve"> </w:t>
      </w:r>
      <w:r>
        <w:t>defendants were questioned in an attempt to preserve the</w:t>
      </w:r>
      <w:r w:rsidR="00BB1775">
        <w:t xml:space="preserve"> </w:t>
      </w:r>
      <w:r>
        <w:t>safety of the public before they had the opportunity of</w:t>
      </w:r>
      <w:r w:rsidR="00BB1775">
        <w:t xml:space="preserve"> </w:t>
      </w:r>
      <w:r>
        <w:t>consulting with a solicitor. It is not alleged by anyone that legal advice was denied by the officers as a result of bad faith or dishonesty. However, access to</w:t>
      </w:r>
      <w:r w:rsidR="00BB1775">
        <w:t xml:space="preserve"> </w:t>
      </w:r>
      <w:r>
        <w:t>legal advice prior to interview is a right that is</w:t>
      </w:r>
      <w:r w:rsidR="00BB1775">
        <w:t xml:space="preserve"> </w:t>
      </w:r>
      <w:r>
        <w:t>usually afforded to a suspect and you should take into consideration that this did not happen. For instance,</w:t>
      </w:r>
      <w:r w:rsidR="00BB1775">
        <w:t xml:space="preserve"> </w:t>
      </w:r>
      <w:r>
        <w:t>a solicitor may have advised the defendant in question</w:t>
      </w:r>
      <w:r w:rsidR="00BB1775">
        <w:t xml:space="preserve"> </w:t>
      </w:r>
      <w:r>
        <w:t>to remain silent or they may have reminded the defendant</w:t>
      </w:r>
      <w:r w:rsidR="00BB1775">
        <w:t xml:space="preserve"> </w:t>
      </w:r>
      <w:r>
        <w:t>that he should tell the truth and that there may be</w:t>
      </w:r>
      <w:r w:rsidR="00BB1775">
        <w:t xml:space="preserve"> </w:t>
      </w:r>
      <w:r>
        <w:t>consequences if he lied. Therefore, when considering</w:t>
      </w:r>
      <w:r w:rsidR="00BB1775">
        <w:t xml:space="preserve"> </w:t>
      </w:r>
      <w:r>
        <w:t>whether to hold any lie told by those three defendants</w:t>
      </w:r>
      <w:r w:rsidR="00BB1775">
        <w:t xml:space="preserve"> </w:t>
      </w:r>
      <w:r>
        <w:t>during a safety interview against them, remember that</w:t>
      </w:r>
      <w:r w:rsidR="00BB1775">
        <w:t xml:space="preserve"> </w:t>
      </w:r>
      <w:r>
        <w:t>this safeguard with these safety interviews was</w:t>
      </w:r>
      <w:r w:rsidR="00BB1775">
        <w:t xml:space="preserve"> </w:t>
      </w:r>
      <w:r>
        <w:t>withheld.</w:t>
      </w:r>
      <w:r w:rsidR="00CC7DA6">
        <w:t>”</w:t>
      </w:r>
    </w:p>
    <w:bookmarkStart w:id="51" w:name="Fulfordsummingupincorrectcautions"/>
    <w:bookmarkStart w:id="52" w:name="aaa80"/>
    <w:p w:rsidR="00CC7DA6" w:rsidRDefault="0082058A" w:rsidP="003D1B82">
      <w:pPr>
        <w:pStyle w:val="JuPara"/>
      </w:pPr>
      <w:r>
        <w:fldChar w:fldCharType="begin"/>
      </w:r>
      <w:r w:rsidR="00CC7DA6">
        <w:instrText xml:space="preserve"> SEQ level0 \*arabic </w:instrText>
      </w:r>
      <w:r>
        <w:fldChar w:fldCharType="separate"/>
      </w:r>
      <w:r w:rsidR="00517F95">
        <w:rPr>
          <w:noProof/>
        </w:rPr>
        <w:t>80</w:t>
      </w:r>
      <w:r>
        <w:fldChar w:fldCharType="end"/>
      </w:r>
      <w:bookmarkEnd w:id="51"/>
      <w:bookmarkEnd w:id="52"/>
      <w:r w:rsidR="00661205">
        <w:t>.  </w:t>
      </w:r>
      <w:r w:rsidR="007F47C8">
        <w:t>The judge</w:t>
      </w:r>
      <w:r w:rsidR="00CC7DA6">
        <w:t xml:space="preserve"> </w:t>
      </w:r>
      <w:r w:rsidR="008D323F">
        <w:t xml:space="preserve">also </w:t>
      </w:r>
      <w:r w:rsidR="00CC7DA6">
        <w:t xml:space="preserve">directed the jury to bear in mind </w:t>
      </w:r>
      <w:r w:rsidR="008D323F">
        <w:t>that incorrect cautions had been used</w:t>
      </w:r>
      <w:r w:rsidR="007F47C8">
        <w:t xml:space="preserve">. </w:t>
      </w:r>
      <w:r w:rsidR="00CC7DA6">
        <w:t xml:space="preserve">He </w:t>
      </w:r>
      <w:r w:rsidR="00A6455A">
        <w:t>explained</w:t>
      </w:r>
      <w:r w:rsidR="00CC7DA6">
        <w:t>:</w:t>
      </w:r>
    </w:p>
    <w:p w:rsidR="009F653C" w:rsidRDefault="00CC7DA6" w:rsidP="00870741">
      <w:pPr>
        <w:pStyle w:val="ECHRParaQuote"/>
      </w:pPr>
      <w:r>
        <w:t>“</w:t>
      </w:r>
      <w:r w:rsidR="00870741">
        <w:t>As a result, it was confused</w:t>
      </w:r>
      <w:r w:rsidR="009F653C">
        <w:t xml:space="preserve"> and</w:t>
      </w:r>
      <w:r w:rsidR="00BB1775">
        <w:t xml:space="preserve"> </w:t>
      </w:r>
      <w:r w:rsidR="00870741">
        <w:t>potentially confusing for all three defendants. The</w:t>
      </w:r>
      <w:r w:rsidR="00BB1775">
        <w:t xml:space="preserve"> </w:t>
      </w:r>
      <w:r w:rsidR="00870741">
        <w:t>new-style caution that was administered may have put</w:t>
      </w:r>
      <w:r w:rsidR="009F653C">
        <w:t xml:space="preserve"> </w:t>
      </w:r>
      <w:r w:rsidR="00870741">
        <w:t>inappropriate pressure on them to speak. When</w:t>
      </w:r>
      <w:r w:rsidR="00BB1775">
        <w:t xml:space="preserve"> </w:t>
      </w:r>
      <w:r w:rsidR="00870741">
        <w:t>considering whether or not to hold any lie told by</w:t>
      </w:r>
      <w:r w:rsidR="00BB1775">
        <w:t xml:space="preserve"> </w:t>
      </w:r>
      <w:r w:rsidR="00870741">
        <w:t>a defendant during a safety interview against him, take</w:t>
      </w:r>
      <w:r w:rsidR="00BB1775">
        <w:t xml:space="preserve"> </w:t>
      </w:r>
      <w:r w:rsidR="00870741">
        <w:t>into account, therefore, that unsatisfactory history as</w:t>
      </w:r>
      <w:r w:rsidR="00BB1775">
        <w:t xml:space="preserve"> </w:t>
      </w:r>
      <w:r w:rsidR="00BD70E6">
        <w:t>regards the use of the caution.</w:t>
      </w:r>
    </w:p>
    <w:p w:rsidR="00870741" w:rsidRDefault="00870741" w:rsidP="009F653C">
      <w:pPr>
        <w:pStyle w:val="ECHRParaQuote"/>
      </w:pPr>
      <w:r>
        <w:t xml:space="preserve">However, as regards </w:t>
      </w:r>
      <w:r w:rsidR="00CC7DA6">
        <w:t>the use</w:t>
      </w:r>
      <w:r>
        <w:t xml:space="preserve"> of the new-style caution, you are also entitled to</w:t>
      </w:r>
      <w:r w:rsidR="00BB1775">
        <w:t xml:space="preserve"> </w:t>
      </w:r>
      <w:r>
        <w:t>bear in mind that none of these three defendants were in</w:t>
      </w:r>
      <w:r w:rsidR="00BB1775">
        <w:t xml:space="preserve"> </w:t>
      </w:r>
      <w:r>
        <w:t>fact pressurised into revealing anything that they have</w:t>
      </w:r>
      <w:r w:rsidR="00BB1775">
        <w:t xml:space="preserve"> </w:t>
      </w:r>
      <w:r>
        <w:t>later relied on in this trial. To the contrary, on all or most material issues they lied.</w:t>
      </w:r>
      <w:r w:rsidR="00CC7DA6">
        <w:t>”</w:t>
      </w:r>
    </w:p>
    <w:bookmarkStart w:id="53" w:name="Fulfordsumminguplies"/>
    <w:p w:rsidR="00CC7DA6" w:rsidRDefault="0082058A" w:rsidP="003D1B82">
      <w:pPr>
        <w:pStyle w:val="JuPara"/>
      </w:pPr>
      <w:r>
        <w:fldChar w:fldCharType="begin"/>
      </w:r>
      <w:r w:rsidR="00CC7DA6">
        <w:instrText xml:space="preserve"> SEQ level0 \*arabic </w:instrText>
      </w:r>
      <w:r>
        <w:fldChar w:fldCharType="separate"/>
      </w:r>
      <w:r w:rsidR="00517F95">
        <w:rPr>
          <w:noProof/>
        </w:rPr>
        <w:t>81</w:t>
      </w:r>
      <w:r>
        <w:fldChar w:fldCharType="end"/>
      </w:r>
      <w:bookmarkEnd w:id="53"/>
      <w:r w:rsidR="007F47C8">
        <w:t>.  In respect of those lies, the judge</w:t>
      </w:r>
      <w:r w:rsidR="00CC7DA6">
        <w:t xml:space="preserve"> </w:t>
      </w:r>
      <w:r w:rsidR="005F5370">
        <w:t>observed</w:t>
      </w:r>
      <w:r w:rsidR="00CC7DA6">
        <w:t>:</w:t>
      </w:r>
    </w:p>
    <w:p w:rsidR="00870741" w:rsidRDefault="00CC7DA6" w:rsidP="00870741">
      <w:pPr>
        <w:pStyle w:val="ECHRParaQuote"/>
      </w:pPr>
      <w:r>
        <w:t>“</w:t>
      </w:r>
      <w:r w:rsidR="00870741">
        <w:t>In addition, for Ibrahim, Asiedu, Omar, Osman and</w:t>
      </w:r>
      <w:r w:rsidR="00885BA4">
        <w:t xml:space="preserve"> </w:t>
      </w:r>
      <w:r w:rsidR="00870741">
        <w:t>Moha</w:t>
      </w:r>
      <w:r w:rsidR="00D2125E">
        <w:t>m</w:t>
      </w:r>
      <w:r w:rsidR="00870741">
        <w:t>med when assessing lies they told whilst in police</w:t>
      </w:r>
      <w:r w:rsidR="00BB1775">
        <w:t xml:space="preserve"> </w:t>
      </w:r>
      <w:r w:rsidR="00870741">
        <w:t>custody, whether in a safety interview or otherwise, you</w:t>
      </w:r>
      <w:r w:rsidR="00885BA4">
        <w:t xml:space="preserve"> </w:t>
      </w:r>
      <w:r w:rsidR="00870741">
        <w:t>should consider two further questions: on the particular</w:t>
      </w:r>
      <w:r w:rsidR="00BB1775">
        <w:t xml:space="preserve"> </w:t>
      </w:r>
      <w:r w:rsidR="00870741">
        <w:t>issue you are considering, you must decide whether the</w:t>
      </w:r>
      <w:r w:rsidR="00BB1775">
        <w:t xml:space="preserve"> </w:t>
      </w:r>
      <w:r w:rsidR="00870741">
        <w:t>defendant you are considering did in fact deliberately</w:t>
      </w:r>
      <w:r w:rsidR="00BB1775">
        <w:t xml:space="preserve"> </w:t>
      </w:r>
      <w:r w:rsidR="00870741">
        <w:t>tell lies. If you are not sure he did, ignore this</w:t>
      </w:r>
      <w:r w:rsidR="00BB1775">
        <w:t xml:space="preserve"> </w:t>
      </w:r>
      <w:r w:rsidR="00870741">
        <w:t>matter on that issue. If you are sure, consider why did</w:t>
      </w:r>
      <w:r w:rsidR="00BB1775">
        <w:t xml:space="preserve"> </w:t>
      </w:r>
      <w:r w:rsidR="00870741">
        <w:t>the defendant lie on that issue. The mere fact that</w:t>
      </w:r>
      <w:r w:rsidR="00BB1775">
        <w:t xml:space="preserve"> </w:t>
      </w:r>
      <w:r w:rsidR="00870741">
        <w:t>a defendant tells a lie is not in itself evidence of</w:t>
      </w:r>
      <w:r w:rsidR="00BB1775">
        <w:t xml:space="preserve"> </w:t>
      </w:r>
      <w:r w:rsidR="00870741">
        <w:t>guilt. A defendant may lie for many reasons and they</w:t>
      </w:r>
      <w:r w:rsidR="00BB1775">
        <w:t xml:space="preserve"> </w:t>
      </w:r>
      <w:r w:rsidR="00870741">
        <w:t>may possibly be innocent ones in the sense that they do</w:t>
      </w:r>
      <w:r w:rsidR="00BB1775">
        <w:t xml:space="preserve"> </w:t>
      </w:r>
      <w:r w:rsidR="00870741">
        <w:t xml:space="preserve">not denote guilt. It is suggested here that lies </w:t>
      </w:r>
      <w:r>
        <w:t>were told</w:t>
      </w:r>
      <w:r w:rsidR="00870741">
        <w:t xml:space="preserve"> for a variety of reasons: out of fear of admitting</w:t>
      </w:r>
      <w:r w:rsidR="00BB1775">
        <w:t xml:space="preserve"> </w:t>
      </w:r>
      <w:r w:rsidR="00870741">
        <w:t>a degree of involvement or knowledge but which the</w:t>
      </w:r>
      <w:r w:rsidR="00BB1775">
        <w:t xml:space="preserve"> </w:t>
      </w:r>
      <w:r w:rsidR="00870741">
        <w:t>defendant says falls short of his being a conspirator,</w:t>
      </w:r>
      <w:r w:rsidR="00BB1775">
        <w:t xml:space="preserve"> </w:t>
      </w:r>
      <w:r w:rsidR="00870741">
        <w:t>that is Asiedu; to protect others who they feared would</w:t>
      </w:r>
      <w:r w:rsidR="00BB1775">
        <w:t xml:space="preserve"> </w:t>
      </w:r>
      <w:r w:rsidR="00870741">
        <w:t>be falsely accused and might be killed or injured as</w:t>
      </w:r>
      <w:r w:rsidR="00BB1775">
        <w:t xml:space="preserve"> </w:t>
      </w:r>
      <w:r w:rsidR="00870741">
        <w:t>a result; out of fear of admitting involvement, as they</w:t>
      </w:r>
      <w:r>
        <w:t xml:space="preserve"> </w:t>
      </w:r>
      <w:r w:rsidR="00870741">
        <w:t>claim, in a hoax attack, or out of panic, distress,</w:t>
      </w:r>
      <w:r w:rsidR="00BB1775">
        <w:t xml:space="preserve"> </w:t>
      </w:r>
      <w:r w:rsidR="00870741">
        <w:t>confusion, or from fear of being assaulted.</w:t>
      </w:r>
    </w:p>
    <w:p w:rsidR="00BB1775" w:rsidRDefault="00D2125E" w:rsidP="0021480B">
      <w:pPr>
        <w:pStyle w:val="ECHRParaQuote"/>
      </w:pPr>
      <w:r>
        <w:lastRenderedPageBreak/>
        <w:t>If you think that there is, or may be, an innocent explanation for the lies told by the defendant you are considering, then you should take no notice of them. It is only if you are sure that he did not lie for an innocent reason that his lies can be regarded by you as evidence supporting the prosecution case, subject to the other directions I have just given you on this issue relating to the safety interviews.</w:t>
      </w:r>
      <w:r w:rsidR="007E2347">
        <w:t>”</w:t>
      </w:r>
    </w:p>
    <w:bookmarkStart w:id="54" w:name="Fulfordsummingupfailtomention"/>
    <w:p w:rsidR="007E2347" w:rsidRDefault="0082058A" w:rsidP="000C5BF9">
      <w:pPr>
        <w:pStyle w:val="JuParaLast"/>
      </w:pPr>
      <w:r>
        <w:fldChar w:fldCharType="begin"/>
      </w:r>
      <w:r w:rsidR="00C04CCA">
        <w:instrText xml:space="preserve"> SEQ level0 \*arabic </w:instrText>
      </w:r>
      <w:r>
        <w:fldChar w:fldCharType="separate"/>
      </w:r>
      <w:r w:rsidR="00517F95">
        <w:rPr>
          <w:noProof/>
        </w:rPr>
        <w:t>82</w:t>
      </w:r>
      <w:r>
        <w:rPr>
          <w:noProof/>
        </w:rPr>
        <w:fldChar w:fldCharType="end"/>
      </w:r>
      <w:bookmarkEnd w:id="54"/>
      <w:r w:rsidR="007E2347">
        <w:t>.  Concerning the failure of the applicants to mention the defence led at trial during the safety interviews, the judge directed as follows:</w:t>
      </w:r>
    </w:p>
    <w:p w:rsidR="00560D3E" w:rsidRDefault="00560D3E" w:rsidP="00870741">
      <w:pPr>
        <w:pStyle w:val="ECHRParaQuote"/>
      </w:pPr>
      <w:r>
        <w:t xml:space="preserve"> </w:t>
      </w:r>
      <w:r w:rsidR="007E2347">
        <w:t>“</w:t>
      </w:r>
      <w:r w:rsidR="00870741">
        <w:t>Let us turn then to the failure of the defendants to</w:t>
      </w:r>
      <w:r w:rsidR="00BB1775">
        <w:t xml:space="preserve"> </w:t>
      </w:r>
      <w:r w:rsidR="00870741">
        <w:t>answer questions in interview. The first matter to</w:t>
      </w:r>
      <w:r w:rsidR="00BB1775">
        <w:t xml:space="preserve"> </w:t>
      </w:r>
      <w:r w:rsidR="00870741">
        <w:t>stress is that you must not hold it against Ibrahim,</w:t>
      </w:r>
      <w:r w:rsidR="00BB1775">
        <w:t xml:space="preserve"> </w:t>
      </w:r>
      <w:r w:rsidR="00870741">
        <w:t>Omar and Moham</w:t>
      </w:r>
      <w:r w:rsidR="00D2125E">
        <w:t>m</w:t>
      </w:r>
      <w:r w:rsidR="00870741">
        <w:t>ed that they failed to mention during the</w:t>
      </w:r>
      <w:r w:rsidR="00BB1775">
        <w:t xml:space="preserve"> </w:t>
      </w:r>
      <w:r w:rsidR="00870741">
        <w:t>safety interviews matters which they later relied on in</w:t>
      </w:r>
      <w:r w:rsidR="00BB1775">
        <w:t xml:space="preserve"> </w:t>
      </w:r>
      <w:r w:rsidR="00870741">
        <w:t>court. That is because, as I have just explained to</w:t>
      </w:r>
      <w:r w:rsidR="00BB1775">
        <w:t xml:space="preserve"> </w:t>
      </w:r>
      <w:r w:rsidR="00870741">
        <w:t>you, access to a lawyer had been denied at that stage</w:t>
      </w:r>
      <w:r w:rsidR="00BB1775">
        <w:t xml:space="preserve"> </w:t>
      </w:r>
      <w:r w:rsidR="00870741">
        <w:t>and the law is that in those circumstances a defendant</w:t>
      </w:r>
      <w:r w:rsidR="007F47C8">
        <w:t xml:space="preserve"> </w:t>
      </w:r>
      <w:r w:rsidR="00870741">
        <w:t xml:space="preserve">is not to be criticised for failing to mention </w:t>
      </w:r>
      <w:r w:rsidR="007F47C8">
        <w:t>matters that</w:t>
      </w:r>
      <w:r w:rsidR="00870741">
        <w:t xml:space="preserve"> later form part of his defence. Of course it</w:t>
      </w:r>
      <w:r w:rsidR="00BB1775">
        <w:t xml:space="preserve"> </w:t>
      </w:r>
      <w:r w:rsidR="00870741">
        <w:t>follows from the direction I have just given you about</w:t>
      </w:r>
      <w:r w:rsidR="00BB1775">
        <w:t xml:space="preserve"> </w:t>
      </w:r>
      <w:r w:rsidR="00870741">
        <w:t>lies that if instead of remaining silent they told lies,</w:t>
      </w:r>
      <w:r>
        <w:t xml:space="preserve"> </w:t>
      </w:r>
      <w:r w:rsidR="00870741">
        <w:t>you are entitled to take those untruths into account,</w:t>
      </w:r>
      <w:r w:rsidR="00BB1775">
        <w:t xml:space="preserve"> </w:t>
      </w:r>
      <w:r w:rsidR="00870741">
        <w:t>subject always to the matters I have just directed you</w:t>
      </w:r>
      <w:r w:rsidR="00BB1775">
        <w:t xml:space="preserve"> </w:t>
      </w:r>
      <w:r w:rsidR="00870741">
        <w:t>to take into account.</w:t>
      </w:r>
    </w:p>
    <w:p w:rsidR="00BB1775" w:rsidRDefault="00C91245" w:rsidP="00870741">
      <w:pPr>
        <w:pStyle w:val="ECHRParaQuote"/>
      </w:pPr>
      <w:r>
        <w:t>...</w:t>
      </w:r>
    </w:p>
    <w:p w:rsidR="00BB1775" w:rsidRDefault="00DE610C" w:rsidP="00870741">
      <w:pPr>
        <w:pStyle w:val="ECHRParaQuote"/>
      </w:pPr>
      <w:r>
        <w:t>[M]</w:t>
      </w:r>
      <w:r w:rsidR="00870741">
        <w:t>y clear</w:t>
      </w:r>
      <w:r w:rsidR="00BB1775">
        <w:t xml:space="preserve"> </w:t>
      </w:r>
      <w:r w:rsidR="00870741">
        <w:t>direction to you is that you must not hold it against Ibrahim, Omar and Moha</w:t>
      </w:r>
      <w:r w:rsidR="005430F1">
        <w:t>m</w:t>
      </w:r>
      <w:r w:rsidR="00870741">
        <w:t>med that they failed to mention</w:t>
      </w:r>
      <w:r w:rsidR="00BB1775">
        <w:t xml:space="preserve"> </w:t>
      </w:r>
      <w:r w:rsidR="00870741">
        <w:t>during the safety interviews matters which they later</w:t>
      </w:r>
      <w:r w:rsidR="00BB1775">
        <w:t xml:space="preserve"> </w:t>
      </w:r>
      <w:r w:rsidR="00870741">
        <w:t>have relied on in this court.</w:t>
      </w:r>
      <w:r>
        <w:t>”</w:t>
      </w:r>
    </w:p>
    <w:bookmarkStart w:id="55" w:name="Fulfordsumminguplaterinterviews"/>
    <w:p w:rsidR="00DE610C" w:rsidRDefault="0082058A" w:rsidP="00DE610C">
      <w:pPr>
        <w:pStyle w:val="JuPara"/>
        <w:ind w:right="-13"/>
      </w:pPr>
      <w:r>
        <w:fldChar w:fldCharType="begin"/>
      </w:r>
      <w:r w:rsidR="00DE610C">
        <w:instrText xml:space="preserve"> SEQ level0 \*arabic </w:instrText>
      </w:r>
      <w:r>
        <w:fldChar w:fldCharType="separate"/>
      </w:r>
      <w:r w:rsidR="00517F95">
        <w:rPr>
          <w:noProof/>
        </w:rPr>
        <w:t>83</w:t>
      </w:r>
      <w:r>
        <w:fldChar w:fldCharType="end"/>
      </w:r>
      <w:bookmarkEnd w:id="55"/>
      <w:r w:rsidR="00DE610C">
        <w:t>.  For the later interviews that took place</w:t>
      </w:r>
      <w:r w:rsidR="00870741">
        <w:t xml:space="preserve"> after</w:t>
      </w:r>
      <w:r w:rsidR="00BB1775">
        <w:t xml:space="preserve"> </w:t>
      </w:r>
      <w:r w:rsidR="00870741">
        <w:t>the</w:t>
      </w:r>
      <w:r w:rsidR="00DE610C">
        <w:t xml:space="preserve"> applicant</w:t>
      </w:r>
      <w:r w:rsidR="005430F1">
        <w:t>s</w:t>
      </w:r>
      <w:r w:rsidR="00870741">
        <w:t xml:space="preserve"> had seen their legal representatives and</w:t>
      </w:r>
      <w:r w:rsidR="007E2347">
        <w:t xml:space="preserve"> </w:t>
      </w:r>
      <w:r w:rsidR="00870741">
        <w:t xml:space="preserve">had </w:t>
      </w:r>
      <w:r w:rsidR="00DE610C">
        <w:t xml:space="preserve">received the new-style caution, </w:t>
      </w:r>
      <w:r w:rsidR="007E2347">
        <w:t>the trial judge</w:t>
      </w:r>
      <w:r w:rsidR="00DE610C">
        <w:t xml:space="preserve"> directed the jury that </w:t>
      </w:r>
      <w:r w:rsidR="005F5370">
        <w:t>the applicants</w:t>
      </w:r>
      <w:r w:rsidR="00DE610C">
        <w:t xml:space="preserve"> had failed to give an account of three matters that they relied on at trial, even though they had been asked questions about them in interview:</w:t>
      </w:r>
      <w:r w:rsidR="005F5370">
        <w:t xml:space="preserve"> (i)</w:t>
      </w:r>
      <w:r w:rsidR="00DE610C">
        <w:t xml:space="preserve"> the true events leading up to 21 July 2005</w:t>
      </w:r>
      <w:r w:rsidR="00870741">
        <w:t xml:space="preserve">; </w:t>
      </w:r>
      <w:r w:rsidR="005F5370">
        <w:t xml:space="preserve">(ii) </w:t>
      </w:r>
      <w:r w:rsidR="00870741">
        <w:t>their knowledge individually of</w:t>
      </w:r>
      <w:r w:rsidR="00BB1775">
        <w:t xml:space="preserve"> </w:t>
      </w:r>
      <w:r w:rsidR="00B34516">
        <w:t>and association with their co</w:t>
      </w:r>
      <w:r w:rsidR="00B34516">
        <w:noBreakHyphen/>
      </w:r>
      <w:r w:rsidR="00870741">
        <w:t xml:space="preserve">accused; </w:t>
      </w:r>
      <w:r w:rsidR="00DE610C">
        <w:t>and</w:t>
      </w:r>
      <w:r w:rsidR="005F5370">
        <w:t xml:space="preserve"> (iii)</w:t>
      </w:r>
      <w:r w:rsidR="00870741">
        <w:t xml:space="preserve"> their true</w:t>
      </w:r>
      <w:r w:rsidR="00BB1775">
        <w:t xml:space="preserve"> </w:t>
      </w:r>
      <w:r w:rsidR="00870741">
        <w:t>state of mind, purpose and intention in relation to the deployment</w:t>
      </w:r>
      <w:r w:rsidR="00BB1775">
        <w:t xml:space="preserve"> </w:t>
      </w:r>
      <w:r w:rsidR="00870741">
        <w:t xml:space="preserve">of the </w:t>
      </w:r>
      <w:r w:rsidR="005430F1">
        <w:t>bombs</w:t>
      </w:r>
      <w:r w:rsidR="00870741">
        <w:t>.</w:t>
      </w:r>
      <w:r w:rsidR="00BB1775">
        <w:t xml:space="preserve"> </w:t>
      </w:r>
      <w:r w:rsidR="00DE610C">
        <w:t xml:space="preserve">He </w:t>
      </w:r>
      <w:r w:rsidR="007F47C8">
        <w:t>explained that the failure to mention these matters during the interviews which took place after they had received legal advice could be held against them.</w:t>
      </w:r>
    </w:p>
    <w:p w:rsidR="00491FF5" w:rsidRPr="00064917" w:rsidRDefault="004B5D48" w:rsidP="007E2347">
      <w:pPr>
        <w:pStyle w:val="ECHRHeading4"/>
      </w:pPr>
      <w:r>
        <w:t>(</w:t>
      </w:r>
      <w:r w:rsidR="007E2347">
        <w:t>e</w:t>
      </w:r>
      <w:r>
        <w:t>)</w:t>
      </w:r>
      <w:r w:rsidR="006412E9">
        <w:t>  </w:t>
      </w:r>
      <w:r w:rsidR="00491FF5" w:rsidRPr="00064917">
        <w:t>The verdict</w:t>
      </w:r>
      <w:r w:rsidR="00A67836">
        <w:t>s and sentences</w:t>
      </w:r>
    </w:p>
    <w:p w:rsidR="00491FF5" w:rsidRPr="00064917" w:rsidRDefault="00555E80" w:rsidP="00491FF5">
      <w:pPr>
        <w:pStyle w:val="JuPara"/>
      </w:pPr>
      <w:r>
        <w:fldChar w:fldCharType="begin"/>
      </w:r>
      <w:r>
        <w:instrText xml:space="preserve"> SEQ level0 \*arabic </w:instrText>
      </w:r>
      <w:r>
        <w:fldChar w:fldCharType="separate"/>
      </w:r>
      <w:r w:rsidR="00517F95">
        <w:rPr>
          <w:noProof/>
        </w:rPr>
        <w:t>84</w:t>
      </w:r>
      <w:r>
        <w:rPr>
          <w:noProof/>
        </w:rPr>
        <w:fldChar w:fldCharType="end"/>
      </w:r>
      <w:r w:rsidR="009E3365">
        <w:t>.</w:t>
      </w:r>
      <w:r w:rsidR="006412E9">
        <w:t>  </w:t>
      </w:r>
      <w:r w:rsidR="00491FF5" w:rsidRPr="00064917">
        <w:t>On 9 July 2007</w:t>
      </w:r>
      <w:r w:rsidR="009E3365">
        <w:t xml:space="preserve"> the jury convicted the first three </w:t>
      </w:r>
      <w:r w:rsidR="00491FF5" w:rsidRPr="00064917">
        <w:t xml:space="preserve">applicants </w:t>
      </w:r>
      <w:r w:rsidR="009E3365">
        <w:t>and</w:t>
      </w:r>
      <w:r w:rsidR="00885BA4">
        <w:t xml:space="preserve"> Mr </w:t>
      </w:r>
      <w:r w:rsidR="00491FF5" w:rsidRPr="00064917">
        <w:t xml:space="preserve">Osman </w:t>
      </w:r>
      <w:r w:rsidR="009E3365">
        <w:t xml:space="preserve">of </w:t>
      </w:r>
      <w:r w:rsidR="00491FF5" w:rsidRPr="00064917">
        <w:t xml:space="preserve">conspiracy to </w:t>
      </w:r>
      <w:r w:rsidR="009E3365">
        <w:t xml:space="preserve">murder. </w:t>
      </w:r>
      <w:r w:rsidR="00491FF5" w:rsidRPr="00064917">
        <w:t xml:space="preserve">The jury were unable to reach verdicts in respect of </w:t>
      </w:r>
      <w:r w:rsidR="0021480B">
        <w:t xml:space="preserve">the other </w:t>
      </w:r>
      <w:r w:rsidR="007E2347">
        <w:t xml:space="preserve">two </w:t>
      </w:r>
      <w:r w:rsidR="0021480B">
        <w:t>defendants</w:t>
      </w:r>
      <w:r w:rsidR="00491FF5" w:rsidRPr="00064917">
        <w:t xml:space="preserve"> and a re-trial in their cases was ordered.</w:t>
      </w:r>
      <w:r w:rsidR="00662127">
        <w:t xml:space="preserve"> They subsequently pleaded guilty to lesser charges.</w:t>
      </w:r>
    </w:p>
    <w:p w:rsidR="00491FF5" w:rsidRPr="00064917" w:rsidRDefault="00555E80" w:rsidP="00491FF5">
      <w:pPr>
        <w:pStyle w:val="JuPara"/>
      </w:pPr>
      <w:r>
        <w:fldChar w:fldCharType="begin"/>
      </w:r>
      <w:r>
        <w:instrText xml:space="preserve"> SEQ level0 \*arabic </w:instrText>
      </w:r>
      <w:r>
        <w:fldChar w:fldCharType="separate"/>
      </w:r>
      <w:r w:rsidR="00517F95">
        <w:rPr>
          <w:noProof/>
        </w:rPr>
        <w:t>85</w:t>
      </w:r>
      <w:r>
        <w:rPr>
          <w:noProof/>
        </w:rPr>
        <w:fldChar w:fldCharType="end"/>
      </w:r>
      <w:r w:rsidR="009E3365">
        <w:t>.</w:t>
      </w:r>
      <w:r w:rsidR="00BB1775">
        <w:t xml:space="preserve"> </w:t>
      </w:r>
      <w:r w:rsidR="00491FF5" w:rsidRPr="00064917">
        <w:t>On 11 July 2007 the</w:t>
      </w:r>
      <w:r w:rsidR="00662127">
        <w:t xml:space="preserve"> first three</w:t>
      </w:r>
      <w:r w:rsidR="00491FF5" w:rsidRPr="00064917">
        <w:t xml:space="preserve"> applicants were sentenced to life imprisonment with a minimum term of forty years</w:t>
      </w:r>
      <w:r w:rsidR="005E7B7A">
        <w:t>’</w:t>
      </w:r>
      <w:r w:rsidR="00491FF5" w:rsidRPr="00064917">
        <w:t xml:space="preserve"> imprisonment.</w:t>
      </w:r>
    </w:p>
    <w:p w:rsidR="00560D3E" w:rsidRDefault="007E2347" w:rsidP="007E2347">
      <w:pPr>
        <w:pStyle w:val="ECHRHeading3"/>
      </w:pPr>
      <w:r>
        <w:t>3.</w:t>
      </w:r>
      <w:r w:rsidR="006412E9">
        <w:t>  </w:t>
      </w:r>
      <w:r w:rsidR="00A67836">
        <w:t xml:space="preserve">The </w:t>
      </w:r>
      <w:r w:rsidR="00184552">
        <w:t>appeal</w:t>
      </w:r>
      <w:r>
        <w:t xml:space="preserve"> of the first three applicants</w:t>
      </w:r>
    </w:p>
    <w:p w:rsidR="00885BA4" w:rsidRDefault="00555E80" w:rsidP="00491FF5">
      <w:pPr>
        <w:pStyle w:val="JuPara"/>
      </w:pPr>
      <w:r>
        <w:fldChar w:fldCharType="begin"/>
      </w:r>
      <w:r>
        <w:instrText xml:space="preserve"> SEQ level0 \*arabic </w:instrText>
      </w:r>
      <w:r>
        <w:fldChar w:fldCharType="separate"/>
      </w:r>
      <w:r w:rsidR="00517F95">
        <w:rPr>
          <w:noProof/>
        </w:rPr>
        <w:t>86</w:t>
      </w:r>
      <w:r>
        <w:rPr>
          <w:noProof/>
        </w:rPr>
        <w:fldChar w:fldCharType="end"/>
      </w:r>
      <w:r w:rsidR="00A67836">
        <w:t>.</w:t>
      </w:r>
      <w:r w:rsidR="006412E9">
        <w:t>  </w:t>
      </w:r>
      <w:r w:rsidR="00491FF5" w:rsidRPr="00064917">
        <w:t>The</w:t>
      </w:r>
      <w:r w:rsidR="00A67836">
        <w:t xml:space="preserve"> </w:t>
      </w:r>
      <w:r w:rsidR="00491FF5" w:rsidRPr="00064917">
        <w:t>applicants sought leave to appeal against their convictions. They argued</w:t>
      </w:r>
      <w:r w:rsidR="00065E57">
        <w:t xml:space="preserve"> </w:t>
      </w:r>
      <w:r w:rsidR="00065E57" w:rsidRPr="00065E57">
        <w:rPr>
          <w:i/>
        </w:rPr>
        <w:t>inter alia</w:t>
      </w:r>
      <w:r w:rsidR="00491FF5" w:rsidRPr="00064917">
        <w:t xml:space="preserve"> that</w:t>
      </w:r>
      <w:r w:rsidR="00885BA4">
        <w:t xml:space="preserve"> </w:t>
      </w:r>
      <w:r w:rsidR="00184552">
        <w:t>the trial judge</w:t>
      </w:r>
      <w:r w:rsidR="00885BA4">
        <w:t xml:space="preserve"> </w:t>
      </w:r>
      <w:r w:rsidR="009D2E51">
        <w:t xml:space="preserve">had </w:t>
      </w:r>
      <w:r w:rsidR="00885BA4">
        <w:t>err</w:t>
      </w:r>
      <w:r w:rsidR="0021480B">
        <w:t>ed</w:t>
      </w:r>
      <w:r w:rsidR="00885BA4">
        <w:t xml:space="preserve"> in his ruling admitting </w:t>
      </w:r>
      <w:r w:rsidR="00491FF5" w:rsidRPr="00064917">
        <w:t>the evidence of the safety inter</w:t>
      </w:r>
      <w:r w:rsidR="00885BA4">
        <w:t>views.</w:t>
      </w:r>
    </w:p>
    <w:p w:rsidR="00DA3785" w:rsidRDefault="00555E80" w:rsidP="00491FF5">
      <w:pPr>
        <w:pStyle w:val="JuPara"/>
      </w:pPr>
      <w:r>
        <w:lastRenderedPageBreak/>
        <w:fldChar w:fldCharType="begin"/>
      </w:r>
      <w:r>
        <w:instrText xml:space="preserve"> SEQ level0 \*arabic </w:instrText>
      </w:r>
      <w:r>
        <w:fldChar w:fldCharType="separate"/>
      </w:r>
      <w:r w:rsidR="00517F95">
        <w:rPr>
          <w:noProof/>
        </w:rPr>
        <w:t>87</w:t>
      </w:r>
      <w:r>
        <w:rPr>
          <w:noProof/>
        </w:rPr>
        <w:fldChar w:fldCharType="end"/>
      </w:r>
      <w:r w:rsidR="00A67836">
        <w:t>.</w:t>
      </w:r>
      <w:r w:rsidR="006412E9">
        <w:t>  </w:t>
      </w:r>
      <w:r w:rsidR="00491FF5" w:rsidRPr="00064917">
        <w:t>On 23 April 2008 the Court of Appeal refused le</w:t>
      </w:r>
      <w:r w:rsidR="007E2347">
        <w:t>ave to appeal against conviction</w:t>
      </w:r>
      <w:r w:rsidR="00BD70E6">
        <w:t>.</w:t>
      </w:r>
    </w:p>
    <w:bookmarkStart w:id="56" w:name="CourtofAppealfirstthreeapppressure"/>
    <w:p w:rsidR="00491FF5" w:rsidRPr="00064917" w:rsidRDefault="0082058A" w:rsidP="00491FF5">
      <w:pPr>
        <w:pStyle w:val="JuPara"/>
      </w:pPr>
      <w:r>
        <w:fldChar w:fldCharType="begin"/>
      </w:r>
      <w:r w:rsidR="00DA3785">
        <w:instrText xml:space="preserve"> SEQ level0 \*arabic </w:instrText>
      </w:r>
      <w:r>
        <w:fldChar w:fldCharType="separate"/>
      </w:r>
      <w:r w:rsidR="00517F95">
        <w:rPr>
          <w:noProof/>
        </w:rPr>
        <w:t>88</w:t>
      </w:r>
      <w:r>
        <w:fldChar w:fldCharType="end"/>
      </w:r>
      <w:bookmarkEnd w:id="56"/>
      <w:r w:rsidR="00DA3785">
        <w:t>.</w:t>
      </w:r>
      <w:r w:rsidR="006412E9">
        <w:t>  </w:t>
      </w:r>
      <w:r w:rsidR="00321403">
        <w:t>Setting out the background to the applicants</w:t>
      </w:r>
      <w:r w:rsidR="005E7B7A">
        <w:t>’</w:t>
      </w:r>
      <w:r w:rsidR="00321403">
        <w:t xml:space="preserve"> arrest and questing, the court observed</w:t>
      </w:r>
      <w:r w:rsidR="00491FF5" w:rsidRPr="00064917">
        <w:t>:</w:t>
      </w:r>
    </w:p>
    <w:p w:rsidR="00491FF5" w:rsidRDefault="00491FF5" w:rsidP="00491FF5">
      <w:pPr>
        <w:pStyle w:val="ECHRParaQuote"/>
      </w:pPr>
      <w:r w:rsidRPr="00064917">
        <w:t>“5.</w:t>
      </w:r>
      <w:r w:rsidR="006412E9">
        <w:t>  </w:t>
      </w:r>
      <w:r>
        <w:t>...</w:t>
      </w:r>
      <w:r w:rsidRPr="00064917">
        <w:t xml:space="preserve"> It is virtually impossible to imagine the pressure and concerns which must have been felt by the police investigating teams. Two weeks earlier four bombs had been successfully detonated with the dreadful consequences with which we are familiar, and they were now faced with four more bombs, again in the transport system, which had been detonated, but failed to explode. The bombers involved on 7th July had perished, but the perpetrators of the second intended atrocity were at large, free to repeat their murderous plans, and to do so more effectively. They had to be found and detained, and the immediate objective of the investigation, including interviews of those arrested in connection with these incidents, was directed to public safety.”</w:t>
      </w:r>
    </w:p>
    <w:bookmarkStart w:id="57" w:name="ludicroius"/>
    <w:bookmarkStart w:id="58" w:name="ludicrous"/>
    <w:p w:rsidR="00DA3785" w:rsidRDefault="0082058A" w:rsidP="00DA3785">
      <w:pPr>
        <w:pStyle w:val="JuPara"/>
        <w:ind w:right="-13"/>
      </w:pPr>
      <w:r>
        <w:fldChar w:fldCharType="begin"/>
      </w:r>
      <w:r w:rsidR="00DA3785">
        <w:instrText xml:space="preserve"> SEQ level0 \*arabic </w:instrText>
      </w:r>
      <w:r>
        <w:fldChar w:fldCharType="separate"/>
      </w:r>
      <w:r w:rsidR="00517F95">
        <w:rPr>
          <w:noProof/>
        </w:rPr>
        <w:t>89</w:t>
      </w:r>
      <w:r>
        <w:fldChar w:fldCharType="end"/>
      </w:r>
      <w:bookmarkEnd w:id="57"/>
      <w:bookmarkEnd w:id="58"/>
      <w:r w:rsidR="00DA3785">
        <w:t>.</w:t>
      </w:r>
      <w:r w:rsidR="006412E9">
        <w:t>  </w:t>
      </w:r>
      <w:r w:rsidR="00321403">
        <w:t>The C</w:t>
      </w:r>
      <w:r w:rsidR="00DA3785">
        <w:t>ourt of Appeal expressed</w:t>
      </w:r>
      <w:r w:rsidR="00321403">
        <w:t>, at the outset of its judgment,</w:t>
      </w:r>
      <w:r w:rsidR="00DA3785">
        <w:t xml:space="preserve"> the following, general conclusion as to the nature and conduct of the trial:</w:t>
      </w:r>
    </w:p>
    <w:p w:rsidR="00DA3785" w:rsidRPr="00064917" w:rsidRDefault="00DA3785" w:rsidP="00DA3785">
      <w:pPr>
        <w:pStyle w:val="ECHRParaQuote"/>
      </w:pPr>
      <w:r>
        <w:t>“</w:t>
      </w:r>
      <w:r w:rsidR="00321403">
        <w:t>7.</w:t>
      </w:r>
      <w:r w:rsidR="006412E9">
        <w:t>  </w:t>
      </w:r>
      <w:r w:rsidRPr="00DA3785">
        <w:t>It is axiomatic that every defendant, even a defendant alleged to be involved in direct and dangerous violence on the citizens and institutions of this country, is entitled to a fair trial at which his guilt must be proved. This trial was m</w:t>
      </w:r>
      <w:r w:rsidR="00DE4C7A">
        <w:t>arked with conspicuous fairness</w:t>
      </w:r>
      <w:r w:rsidRPr="00DA3785">
        <w:t xml:space="preserve"> and commanding judicial control by Mr Justice Fulford. The defendants were represented at public expense by leading counsel of distinction and experience, with absolute clarity about their professional responsibilities both to their clients, and to the court. The jury</w:t>
      </w:r>
      <w:r w:rsidR="005E7B7A">
        <w:t>’</w:t>
      </w:r>
      <w:r w:rsidRPr="00DA3785">
        <w:t xml:space="preserve">s difficulty in agreeing verdicts in relation to </w:t>
      </w:r>
      <w:r w:rsidR="007E2347">
        <w:t xml:space="preserve">Asiedu and Yahya </w:t>
      </w:r>
      <w:r w:rsidRPr="00DA3785">
        <w:t>demonstrates that they approached the issues with the open-minded fairness and lack of prejudice which is one of the customary characteristics of the jury system. Now that the applicants have been convicted after a fair trial before an impartial tribunal, we are entitled to record, after a lengthy examination of the evidence, that their defences to the charge of conspiracy to murder were ludicrous.</w:t>
      </w:r>
      <w:r>
        <w:t>”</w:t>
      </w:r>
    </w:p>
    <w:p w:rsidR="003F6B6F" w:rsidRDefault="00555E80" w:rsidP="00491FF5">
      <w:pPr>
        <w:pStyle w:val="JuPara"/>
      </w:pPr>
      <w:r>
        <w:fldChar w:fldCharType="begin"/>
      </w:r>
      <w:r>
        <w:instrText xml:space="preserve"> SEQ level0 \*arabic </w:instrText>
      </w:r>
      <w:r>
        <w:fldChar w:fldCharType="separate"/>
      </w:r>
      <w:r w:rsidR="00517F95">
        <w:rPr>
          <w:noProof/>
        </w:rPr>
        <w:t>90</w:t>
      </w:r>
      <w:r>
        <w:rPr>
          <w:noProof/>
        </w:rPr>
        <w:fldChar w:fldCharType="end"/>
      </w:r>
      <w:r w:rsidR="003F6B6F">
        <w:t>.</w:t>
      </w:r>
      <w:r w:rsidR="006412E9">
        <w:t>  </w:t>
      </w:r>
      <w:r w:rsidR="003F6B6F">
        <w:t xml:space="preserve">In respect of the </w:t>
      </w:r>
      <w:r w:rsidR="00FE6C7B">
        <w:t>applicants</w:t>
      </w:r>
      <w:r w:rsidR="005E7B7A">
        <w:t>’</w:t>
      </w:r>
      <w:r w:rsidR="003F6B6F">
        <w:t xml:space="preserve"> defence, the Court of Appeal made the following observation:</w:t>
      </w:r>
    </w:p>
    <w:p w:rsidR="003F6B6F" w:rsidRDefault="003F6B6F" w:rsidP="003F6B6F">
      <w:pPr>
        <w:pStyle w:val="ECHRParaQuote"/>
      </w:pPr>
      <w:r>
        <w:t>“</w:t>
      </w:r>
      <w:r w:rsidR="006412E9">
        <w:t>17.  </w:t>
      </w:r>
      <w:r w:rsidRPr="003F6B6F">
        <w:t xml:space="preserve">If these were hoax bombs we find it hard to conceive why it was necessary for the peroxide to be boiled in order to increase its concentration, or why both </w:t>
      </w:r>
      <w:r w:rsidR="007E2347">
        <w:t>Asiedu and Yahya</w:t>
      </w:r>
      <w:r w:rsidRPr="003F6B6F">
        <w:t xml:space="preserve">, independently, when buying hydrogen peroxide asked for it to be supplied at </w:t>
      </w:r>
      <w:r w:rsidR="00A41E8C">
        <w:t xml:space="preserve">[a </w:t>
      </w:r>
      <w:r w:rsidR="003D1B82">
        <w:t xml:space="preserve">much </w:t>
      </w:r>
      <w:r w:rsidR="00A41E8C">
        <w:t>higher]</w:t>
      </w:r>
      <w:r w:rsidRPr="003F6B6F">
        <w:t xml:space="preserve"> strength, or the highest available percentage. Equally, it is astonishing to imagine why nearly 100 gallons of hydrogen peroxide was needed unless its purpose was to increase its strength. The handwritten figures</w:t>
      </w:r>
      <w:r w:rsidR="00A41E8C">
        <w:t xml:space="preserve"> </w:t>
      </w:r>
      <w:r w:rsidR="00C91245">
        <w:t>...</w:t>
      </w:r>
      <w:r w:rsidRPr="003F6B6F">
        <w:t xml:space="preserve"> o</w:t>
      </w:r>
      <w:r w:rsidR="004C7DF6">
        <w:t>n</w:t>
      </w:r>
      <w:r w:rsidRPr="003F6B6F">
        <w:t xml:space="preserve"> 36 bottles made devastating evidence. Each one demonstrated that the manufacturers of the bombs believed that they had in fact achieved the critical concentration necessary to ensure that the bombs exploded. Indeed a significant part of the trial was taken up by the efforts by applicants to explain away this crucial evidence. In very brief summary it was contended that after the concentration in the hydrogen peroxide had been increased, it was then watered down. Moreover it is difficult to understand how any political point, if that was all that was sought to be made, could be improved by the incorporation of shrapnel within the bomb. The shrapnel was intended to cause death and maiming. There could be no other purpose. And if this expedition were intended as a hoax or a political demonstration, there was a remarkable silence from the applicants themselves after they had made their escapes. If their obje</w:t>
      </w:r>
      <w:r w:rsidR="0042241B">
        <w:t>ctive was a hoax, half a moment</w:t>
      </w:r>
      <w:r w:rsidR="005E7B7A">
        <w:t>’</w:t>
      </w:r>
      <w:r w:rsidRPr="003F6B6F">
        <w:t xml:space="preserve">s attention to the outpouring of the news about the unsuccessful bombings would have demonstrated that their objective had been achieved. Yet no </w:t>
      </w:r>
      <w:r w:rsidRPr="003F6B6F">
        <w:lastRenderedPageBreak/>
        <w:t>such assertion or claim or explanation was given or offered to the police or the media or the public before any of the applicants was arrested</w:t>
      </w:r>
      <w:r w:rsidR="00A60727">
        <w:t>.</w:t>
      </w:r>
      <w:r>
        <w:t>”</w:t>
      </w:r>
    </w:p>
    <w:p w:rsidR="00491FF5" w:rsidRPr="00064917" w:rsidRDefault="00555E80" w:rsidP="00491FF5">
      <w:pPr>
        <w:pStyle w:val="JuPara"/>
      </w:pPr>
      <w:r>
        <w:fldChar w:fldCharType="begin"/>
      </w:r>
      <w:r>
        <w:instrText xml:space="preserve"> SEQ level0 \*arabic </w:instrText>
      </w:r>
      <w:r>
        <w:fldChar w:fldCharType="separate"/>
      </w:r>
      <w:r w:rsidR="00517F95">
        <w:rPr>
          <w:noProof/>
        </w:rPr>
        <w:t>91</w:t>
      </w:r>
      <w:r>
        <w:rPr>
          <w:noProof/>
        </w:rPr>
        <w:fldChar w:fldCharType="end"/>
      </w:r>
      <w:r w:rsidR="00A67836">
        <w:t>.</w:t>
      </w:r>
      <w:r w:rsidR="006412E9">
        <w:t>  </w:t>
      </w:r>
      <w:r w:rsidR="00491FF5" w:rsidRPr="00064917">
        <w:t xml:space="preserve">As to the </w:t>
      </w:r>
      <w:r w:rsidR="007E2347">
        <w:t>impact of the admission of</w:t>
      </w:r>
      <w:r w:rsidR="00491FF5" w:rsidRPr="00064917">
        <w:t xml:space="preserve"> the safety interviews, the court observed:</w:t>
      </w:r>
    </w:p>
    <w:p w:rsidR="00491FF5" w:rsidRPr="00064917" w:rsidRDefault="00491FF5" w:rsidP="00491FF5">
      <w:pPr>
        <w:pStyle w:val="ECHRParaQuote"/>
      </w:pPr>
      <w:r w:rsidRPr="00064917">
        <w:t>“20.</w:t>
      </w:r>
      <w:r w:rsidR="006412E9">
        <w:t>  </w:t>
      </w:r>
      <w:r>
        <w:t>...</w:t>
      </w:r>
      <w:r w:rsidRPr="00064917">
        <w:t xml:space="preserve"> At this stage we simply record that if the records of the police interviews were properly admitted, they were sufficient, on their own, utterly to undermine the </w:t>
      </w:r>
      <w:r w:rsidR="005E7B7A">
        <w:t>‘</w:t>
      </w:r>
      <w:r w:rsidRPr="00064917">
        <w:t>hoax</w:t>
      </w:r>
      <w:r w:rsidR="005E7B7A">
        <w:t>’</w:t>
      </w:r>
      <w:r w:rsidRPr="00064917">
        <w:t xml:space="preserve"> defence.”</w:t>
      </w:r>
    </w:p>
    <w:bookmarkStart w:id="59" w:name="CourtofAppealsignficancestatements"/>
    <w:p w:rsidR="00561675" w:rsidRDefault="0082058A" w:rsidP="00491FF5">
      <w:pPr>
        <w:pStyle w:val="JuPara"/>
      </w:pPr>
      <w:r>
        <w:fldChar w:fldCharType="begin"/>
      </w:r>
      <w:r w:rsidR="00A67836">
        <w:instrText xml:space="preserve"> SEQ level0 \*arabic </w:instrText>
      </w:r>
      <w:r>
        <w:fldChar w:fldCharType="separate"/>
      </w:r>
      <w:r w:rsidR="00517F95">
        <w:rPr>
          <w:noProof/>
        </w:rPr>
        <w:t>92</w:t>
      </w:r>
      <w:r>
        <w:fldChar w:fldCharType="end"/>
      </w:r>
      <w:bookmarkEnd w:id="59"/>
      <w:r w:rsidR="00A67836">
        <w:t>.</w:t>
      </w:r>
      <w:r w:rsidR="006412E9">
        <w:t>  </w:t>
      </w:r>
      <w:r w:rsidR="00491FF5" w:rsidRPr="00064917">
        <w:t xml:space="preserve">The court was of the view that an interview process which, so far as possible, enabled the police to protect the public was a necessary imperative. It considered that the question whether the results of such interviews should be used as evidence against the suspects was delicate. However, it emphasised that none of the applicants had said anything which directly incriminated them, or involved any confession to </w:t>
      </w:r>
      <w:r w:rsidR="0042241B">
        <w:t>participation</w:t>
      </w:r>
      <w:r w:rsidR="00491FF5" w:rsidRPr="00064917">
        <w:t xml:space="preserve"> in</w:t>
      </w:r>
      <w:r w:rsidR="0042241B">
        <w:t>,</w:t>
      </w:r>
      <w:r w:rsidR="00491FF5" w:rsidRPr="00064917">
        <w:t xml:space="preserve"> or even remote knowledge of</w:t>
      </w:r>
      <w:r w:rsidR="0042241B">
        <w:t>,</w:t>
      </w:r>
      <w:r w:rsidR="00491FF5" w:rsidRPr="00064917">
        <w:t xml:space="preserve"> the conspiracy to murder on 21 July. </w:t>
      </w:r>
      <w:r w:rsidR="00383050">
        <w:t xml:space="preserve">It also found that there was a risk of attaching disproportionate importance to this particular feature of the evidence in the case. </w:t>
      </w:r>
      <w:r w:rsidR="00491FF5" w:rsidRPr="00064917">
        <w:t>Nevertheless, it noted, the interviews provided important evidence against the</w:t>
      </w:r>
      <w:r w:rsidR="0042241B">
        <w:t xml:space="preserve"> applicants</w:t>
      </w:r>
      <w:r w:rsidR="00491FF5" w:rsidRPr="00064917">
        <w:t xml:space="preserve">, not because they told the truth and revealed knowledge of or involvement in terrorist activity, but because </w:t>
      </w:r>
      <w:r w:rsidR="0042241B">
        <w:t>they</w:t>
      </w:r>
      <w:r w:rsidR="00491FF5" w:rsidRPr="00064917">
        <w:t xml:space="preserve"> had made a number of demonstrably untrue assertions without suggesting the defences that they later advanced at trial.</w:t>
      </w:r>
    </w:p>
    <w:bookmarkStart w:id="60" w:name="CourtofAppealliednotselfincriminated"/>
    <w:p w:rsidR="00491FF5" w:rsidRPr="00064917" w:rsidRDefault="0082058A" w:rsidP="00491FF5">
      <w:pPr>
        <w:pStyle w:val="JuPara"/>
      </w:pPr>
      <w:r>
        <w:fldChar w:fldCharType="begin"/>
      </w:r>
      <w:r w:rsidR="00C04CCA">
        <w:instrText xml:space="preserve"> SEQ level0 \*arabic </w:instrText>
      </w:r>
      <w:r>
        <w:fldChar w:fldCharType="separate"/>
      </w:r>
      <w:r w:rsidR="00517F95">
        <w:rPr>
          <w:noProof/>
        </w:rPr>
        <w:t>93</w:t>
      </w:r>
      <w:r>
        <w:rPr>
          <w:noProof/>
        </w:rPr>
        <w:fldChar w:fldCharType="end"/>
      </w:r>
      <w:bookmarkEnd w:id="60"/>
      <w:r w:rsidR="00561675">
        <w:t>.</w:t>
      </w:r>
      <w:r w:rsidR="006412E9">
        <w:t>  </w:t>
      </w:r>
      <w:r w:rsidR="00491FF5" w:rsidRPr="00064917">
        <w:t xml:space="preserve">The court accepted that, owing to police error, incorrect cautions </w:t>
      </w:r>
      <w:r w:rsidR="0042241B">
        <w:t>had been</w:t>
      </w:r>
      <w:r w:rsidR="00491FF5" w:rsidRPr="00064917">
        <w:t xml:space="preserve"> administered to the</w:t>
      </w:r>
      <w:r w:rsidR="007106BF">
        <w:t xml:space="preserve"> </w:t>
      </w:r>
      <w:r w:rsidR="00491FF5" w:rsidRPr="00064917">
        <w:t>applicants before they told the lies in question. However, it emphasised that each</w:t>
      </w:r>
      <w:r w:rsidR="004A3819">
        <w:t xml:space="preserve"> of the men had been</w:t>
      </w:r>
      <w:r w:rsidR="00491FF5" w:rsidRPr="00064917">
        <w:t xml:space="preserve"> warned that the answers given in the safety interviews might be used in evidence against </w:t>
      </w:r>
      <w:r w:rsidR="004A3819">
        <w:t>him</w:t>
      </w:r>
      <w:r w:rsidR="00491FF5" w:rsidRPr="00064917">
        <w:t>. The court continued:</w:t>
      </w:r>
    </w:p>
    <w:p w:rsidR="00491FF5" w:rsidRPr="00064917" w:rsidRDefault="00491FF5" w:rsidP="00491FF5">
      <w:pPr>
        <w:pStyle w:val="ECHRParaQuote"/>
      </w:pPr>
      <w:r w:rsidRPr="00064917">
        <w:t>“</w:t>
      </w:r>
      <w:r w:rsidR="0042241B">
        <w:t>37.</w:t>
      </w:r>
      <w:r w:rsidR="006412E9">
        <w:t>  </w:t>
      </w:r>
      <w:r w:rsidR="00C91245">
        <w:t>...</w:t>
      </w:r>
      <w:r w:rsidR="0042241B">
        <w:t xml:space="preserve"> </w:t>
      </w:r>
      <w:r w:rsidRPr="00064917">
        <w:t>So they were under no illusions. They did not purport to incriminate themselves at all. They chose to lie. On any view that was an important consideration in the exercise of</w:t>
      </w:r>
      <w:r w:rsidR="000A7465">
        <w:t xml:space="preserve"> Fulford J</w:t>
      </w:r>
      <w:r w:rsidR="005E7B7A">
        <w:t>’</w:t>
      </w:r>
      <w:r w:rsidR="000A7465">
        <w:t>s</w:t>
      </w:r>
      <w:r w:rsidR="00DE1E3B">
        <w:t xml:space="preserve"> </w:t>
      </w:r>
      <w:r w:rsidRPr="00064917">
        <w:t>discretion.”</w:t>
      </w:r>
    </w:p>
    <w:p w:rsidR="00491FF5" w:rsidRDefault="00555E80" w:rsidP="00491FF5">
      <w:pPr>
        <w:pStyle w:val="JuPara"/>
      </w:pPr>
      <w:r>
        <w:fldChar w:fldCharType="begin"/>
      </w:r>
      <w:r>
        <w:instrText xml:space="preserve"> SEQ level0 \*arabic </w:instrText>
      </w:r>
      <w:r>
        <w:fldChar w:fldCharType="separate"/>
      </w:r>
      <w:r w:rsidR="00517F95">
        <w:rPr>
          <w:noProof/>
        </w:rPr>
        <w:t>94</w:t>
      </w:r>
      <w:r>
        <w:rPr>
          <w:noProof/>
        </w:rPr>
        <w:fldChar w:fldCharType="end"/>
      </w:r>
      <w:r w:rsidR="00A67836">
        <w:t>.</w:t>
      </w:r>
      <w:r w:rsidR="006412E9">
        <w:t>  </w:t>
      </w:r>
      <w:r w:rsidR="00491FF5" w:rsidRPr="00064917">
        <w:t>The court was satisfied that the exercise of discretion by the trial judge was fully informed and that he</w:t>
      </w:r>
      <w:r w:rsidR="0042241B">
        <w:t xml:space="preserve"> had</w:t>
      </w:r>
      <w:r w:rsidR="00491FF5" w:rsidRPr="00064917">
        <w:t xml:space="preserve"> approached the relevant issues with care.</w:t>
      </w:r>
    </w:p>
    <w:bookmarkStart w:id="61" w:name="CourtofAppealOmarsseparatesubmission"/>
    <w:p w:rsidR="00491FF5" w:rsidRPr="00064917" w:rsidRDefault="0082058A" w:rsidP="00491FF5">
      <w:pPr>
        <w:pStyle w:val="JuPara"/>
      </w:pPr>
      <w:r>
        <w:fldChar w:fldCharType="begin"/>
      </w:r>
      <w:r w:rsidR="00A67836">
        <w:instrText xml:space="preserve"> SEQ level0 \*arabic </w:instrText>
      </w:r>
      <w:r>
        <w:fldChar w:fldCharType="separate"/>
      </w:r>
      <w:r w:rsidR="00517F95">
        <w:rPr>
          <w:noProof/>
        </w:rPr>
        <w:t>95</w:t>
      </w:r>
      <w:r>
        <w:fldChar w:fldCharType="end"/>
      </w:r>
      <w:bookmarkEnd w:id="61"/>
      <w:r w:rsidR="00A67836">
        <w:t>.</w:t>
      </w:r>
      <w:r w:rsidR="006412E9">
        <w:t>  </w:t>
      </w:r>
      <w:r w:rsidR="00491FF5" w:rsidRPr="00064917">
        <w:t xml:space="preserve">As regards Mr Omar, the court noted that he was the first of the defendants to be arrested and that, as a consequence, what he might have to say was of absolutely crucial importance to the stark public safety issues which confronted the police at the time. It observed that during the </w:t>
      </w:r>
      <w:r w:rsidR="00491FF5" w:rsidRPr="00064917">
        <w:rPr>
          <w:i/>
        </w:rPr>
        <w:t>voir dire</w:t>
      </w:r>
      <w:r w:rsidR="00491FF5" w:rsidRPr="00064917">
        <w:t xml:space="preserve">, it was expressly accepted that the decision to hold a safety interview before Mr Omar was granted access to a lawyer was a valid decision under </w:t>
      </w:r>
      <w:r w:rsidR="00561675">
        <w:t>S</w:t>
      </w:r>
      <w:r w:rsidR="00491FF5" w:rsidRPr="00064917">
        <w:t>chedule 8 of the Terrorism Act 2000 (see paragraphs</w:t>
      </w:r>
      <w:r w:rsidR="005B1959">
        <w:t xml:space="preserve"> </w:t>
      </w:r>
      <w:r>
        <w:fldChar w:fldCharType="begin"/>
      </w:r>
      <w:r w:rsidR="005B1959">
        <w:instrText xml:space="preserve"> REF Schedule8start \h </w:instrText>
      </w:r>
      <w:r>
        <w:fldChar w:fldCharType="separate"/>
      </w:r>
      <w:r w:rsidR="00517F95">
        <w:rPr>
          <w:noProof/>
        </w:rPr>
        <w:t>139</w:t>
      </w:r>
      <w:r>
        <w:fldChar w:fldCharType="end"/>
      </w:r>
      <w:r w:rsidR="005B1959">
        <w:t xml:space="preserve"> et seq. below</w:t>
      </w:r>
      <w:r w:rsidR="00491FF5" w:rsidRPr="00064917">
        <w:t xml:space="preserve">). It was further conceded that the interviews were conducted fairly and moderately, and that they were neither coercive nor oppressive. However, </w:t>
      </w:r>
      <w:r w:rsidR="004C7DF6">
        <w:t>during the</w:t>
      </w:r>
      <w:r w:rsidR="00491FF5" w:rsidRPr="00064917">
        <w:t xml:space="preserve"> appeal</w:t>
      </w:r>
      <w:r w:rsidR="004C7DF6">
        <w:t>,</w:t>
      </w:r>
      <w:r w:rsidR="00491FF5" w:rsidRPr="00064917">
        <w:t xml:space="preserve"> counsel for Mr Omar</w:t>
      </w:r>
      <w:r w:rsidR="004C7DF6">
        <w:t xml:space="preserve"> had</w:t>
      </w:r>
      <w:r w:rsidR="00491FF5" w:rsidRPr="00064917">
        <w:t xml:space="preserve"> sought to argue tha</w:t>
      </w:r>
      <w:r w:rsidR="00491FF5">
        <w:t>t the police action to delay Mr</w:t>
      </w:r>
      <w:r w:rsidR="00BD70E6">
        <w:t xml:space="preserve"> </w:t>
      </w:r>
      <w:r w:rsidR="00491FF5" w:rsidRPr="00064917">
        <w:t>Omar</w:t>
      </w:r>
      <w:r w:rsidR="005E7B7A">
        <w:t>’</w:t>
      </w:r>
      <w:r w:rsidR="00491FF5" w:rsidRPr="00064917">
        <w:t>s access to legal advice was not lawful. The Court noted:</w:t>
      </w:r>
    </w:p>
    <w:p w:rsidR="00491FF5" w:rsidRPr="00064917" w:rsidRDefault="00491FF5" w:rsidP="00491FF5">
      <w:pPr>
        <w:pStyle w:val="ECHRParaQuote"/>
      </w:pPr>
      <w:r w:rsidRPr="00064917">
        <w:lastRenderedPageBreak/>
        <w:t>“First, breaches of the relevant Code do not make subsequent police actions unlawful, at any rate in the sense that they are or would be sufficient of themselves to lead to the exclusion of the results of the subsequent interviews. When, as the judge found, the police were not seeking deliberately to manipulate the system in bad faith, he was required to address the exclusionary powers provided by section 78 of PACE: no more, no less. This leads to the second consideration, that it is always open to the defendant</w:t>
      </w:r>
      <w:r w:rsidR="005E7B7A">
        <w:t>’</w:t>
      </w:r>
      <w:r w:rsidRPr="00064917">
        <w:t>s advocates at trial to make a deliberate forensic decision to waive or ignore, and therefore choose not to rely on the breaches of the relevant Code, if the effect of inviting attention to them may increase rather than diminish the defendant</w:t>
      </w:r>
      <w:r w:rsidR="005E7B7A">
        <w:t>’</w:t>
      </w:r>
      <w:r w:rsidRPr="00064917">
        <w:t>s difficulties. In short, the trial advocate must make his own judgment whether to advance argument based on breaches of the relevant Code, or to argue some, or one, but not all of them.”</w:t>
      </w:r>
    </w:p>
    <w:p w:rsidR="00491FF5" w:rsidRPr="00064917" w:rsidRDefault="00555E80" w:rsidP="00491FF5">
      <w:pPr>
        <w:pStyle w:val="JuPara"/>
      </w:pPr>
      <w:r>
        <w:fldChar w:fldCharType="begin"/>
      </w:r>
      <w:r>
        <w:instrText xml:space="preserve"> SEQ level0 \*arabic </w:instrText>
      </w:r>
      <w:r>
        <w:fldChar w:fldCharType="separate"/>
      </w:r>
      <w:r w:rsidR="00517F95">
        <w:rPr>
          <w:noProof/>
        </w:rPr>
        <w:t>96</w:t>
      </w:r>
      <w:r>
        <w:rPr>
          <w:noProof/>
        </w:rPr>
        <w:fldChar w:fldCharType="end"/>
      </w:r>
      <w:r w:rsidR="00A67836">
        <w:t>.</w:t>
      </w:r>
      <w:r w:rsidR="006412E9">
        <w:t>  </w:t>
      </w:r>
      <w:r w:rsidR="00491FF5" w:rsidRPr="00064917">
        <w:t>The court could see nothing to support the conclusion that the decision to admit the evidence of the safety interviews in Mr Omar</w:t>
      </w:r>
      <w:r w:rsidR="005E7B7A">
        <w:t>’</w:t>
      </w:r>
      <w:r w:rsidR="00491FF5" w:rsidRPr="00064917">
        <w:t>s case was flawed.</w:t>
      </w:r>
    </w:p>
    <w:p w:rsidR="00491FF5" w:rsidRPr="00064917" w:rsidRDefault="00555E80" w:rsidP="00491FF5">
      <w:pPr>
        <w:pStyle w:val="JuPara"/>
      </w:pPr>
      <w:r>
        <w:fldChar w:fldCharType="begin"/>
      </w:r>
      <w:r>
        <w:instrText xml:space="preserve"> SEQ level0 \*ar</w:instrText>
      </w:r>
      <w:r>
        <w:instrText xml:space="preserve">abic </w:instrText>
      </w:r>
      <w:r>
        <w:fldChar w:fldCharType="separate"/>
      </w:r>
      <w:r w:rsidR="00517F95">
        <w:rPr>
          <w:noProof/>
        </w:rPr>
        <w:t>97</w:t>
      </w:r>
      <w:r>
        <w:rPr>
          <w:noProof/>
        </w:rPr>
        <w:fldChar w:fldCharType="end"/>
      </w:r>
      <w:r w:rsidR="00A67836">
        <w:t>.</w:t>
      </w:r>
      <w:r w:rsidR="006412E9">
        <w:t>  </w:t>
      </w:r>
      <w:r w:rsidR="00491FF5" w:rsidRPr="00064917">
        <w:t xml:space="preserve">In respect of Mr Ibrahim, the court noted that three submissions </w:t>
      </w:r>
      <w:r w:rsidR="00561675">
        <w:t>had been</w:t>
      </w:r>
      <w:r w:rsidR="00491FF5" w:rsidRPr="00064917">
        <w:t xml:space="preserve"> advanced by his counsel. First, it </w:t>
      </w:r>
      <w:r w:rsidR="00561675">
        <w:t>had been</w:t>
      </w:r>
      <w:r w:rsidR="00491FF5" w:rsidRPr="00064917">
        <w:t xml:space="preserve"> argued that the superintendent</w:t>
      </w:r>
      <w:r w:rsidR="005E7B7A">
        <w:t>’</w:t>
      </w:r>
      <w:r w:rsidR="00491FF5" w:rsidRPr="00064917">
        <w:t>s conclusion that a pre-in</w:t>
      </w:r>
      <w:r w:rsidR="00B34516">
        <w:t>terview consultation between Mr </w:t>
      </w:r>
      <w:r w:rsidR="00491FF5" w:rsidRPr="00064917">
        <w:t xml:space="preserve">Ibrahim and the duty solicitor would cause unnecessary delay was a serious error of judgment </w:t>
      </w:r>
      <w:r w:rsidR="00561675">
        <w:t>because</w:t>
      </w:r>
      <w:r w:rsidR="00491FF5" w:rsidRPr="00064917">
        <w:t xml:space="preserve"> the safety interview had not taken place until over an hour later. Second, it </w:t>
      </w:r>
      <w:r w:rsidR="00561675">
        <w:t>had been</w:t>
      </w:r>
      <w:r w:rsidR="00491FF5" w:rsidRPr="00064917">
        <w:t xml:space="preserve"> contended that the continued questioning of Mr Ibrahim after he had denied knowing anything constituted a breach of the </w:t>
      </w:r>
      <w:r w:rsidR="007E2347">
        <w:t>applicable c</w:t>
      </w:r>
      <w:r w:rsidR="00491FF5" w:rsidRPr="00064917">
        <w:t>ode, paragraph 6.7 (see paragraph</w:t>
      </w:r>
      <w:r w:rsidR="00BD70E6">
        <w:t> </w:t>
      </w:r>
      <w:r w:rsidR="0082058A">
        <w:fldChar w:fldCharType="begin"/>
      </w:r>
      <w:r w:rsidR="00554DA0">
        <w:instrText xml:space="preserve"> REF safetyinterviewsrdlp1 \h </w:instrText>
      </w:r>
      <w:r w:rsidR="0082058A">
        <w:fldChar w:fldCharType="separate"/>
      </w:r>
      <w:r w:rsidR="00517F95">
        <w:rPr>
          <w:noProof/>
        </w:rPr>
        <w:t>146</w:t>
      </w:r>
      <w:r w:rsidR="0082058A">
        <w:fldChar w:fldCharType="end"/>
      </w:r>
      <w:r w:rsidR="00554DA0">
        <w:t xml:space="preserve"> </w:t>
      </w:r>
      <w:r w:rsidR="00491FF5" w:rsidRPr="00064917">
        <w:t xml:space="preserve">below). Finally, it </w:t>
      </w:r>
      <w:r w:rsidR="00561675">
        <w:t>had been</w:t>
      </w:r>
      <w:r w:rsidR="00491FF5" w:rsidRPr="00064917">
        <w:t xml:space="preserve"> submitted that the administration of the new-style caution had contributed to the unfairness by introducing an element of coercion. The Court of Appeal ex</w:t>
      </w:r>
      <w:r w:rsidR="00F84176">
        <w:t xml:space="preserve">plained in detail how </w:t>
      </w:r>
      <w:r w:rsidR="0042241B">
        <w:t>the trial judge</w:t>
      </w:r>
      <w:r w:rsidR="00F84176">
        <w:t xml:space="preserve"> </w:t>
      </w:r>
      <w:r w:rsidR="009D2E51">
        <w:t>had approached these matters</w:t>
      </w:r>
      <w:r w:rsidR="007E2347">
        <w:t xml:space="preserve"> </w:t>
      </w:r>
      <w:r w:rsidR="00491FF5" w:rsidRPr="00064917">
        <w:t xml:space="preserve">and concluded that it saw no basis for interfering with his decision that the </w:t>
      </w:r>
      <w:r w:rsidR="00645452">
        <w:t xml:space="preserve">statements made during </w:t>
      </w:r>
      <w:r w:rsidR="00491FF5" w:rsidRPr="00064917">
        <w:t>safety interview</w:t>
      </w:r>
      <w:r w:rsidR="00645452">
        <w:t>s</w:t>
      </w:r>
      <w:r w:rsidR="00491FF5" w:rsidRPr="00064917">
        <w:t xml:space="preserve"> should be admitted.</w:t>
      </w:r>
    </w:p>
    <w:p w:rsidR="00491FF5" w:rsidRDefault="00555E80" w:rsidP="00491FF5">
      <w:pPr>
        <w:pStyle w:val="JuPara"/>
      </w:pPr>
      <w:r>
        <w:fldChar w:fldCharType="begin"/>
      </w:r>
      <w:r>
        <w:instrText xml:space="preserve"> SEQ level0 \*arabic </w:instrText>
      </w:r>
      <w:r>
        <w:fldChar w:fldCharType="separate"/>
      </w:r>
      <w:r w:rsidR="00517F95">
        <w:rPr>
          <w:noProof/>
        </w:rPr>
        <w:t>98</w:t>
      </w:r>
      <w:r>
        <w:rPr>
          <w:noProof/>
        </w:rPr>
        <w:fldChar w:fldCharType="end"/>
      </w:r>
      <w:r w:rsidR="00A67836">
        <w:t>.</w:t>
      </w:r>
      <w:r w:rsidR="006412E9">
        <w:t>  </w:t>
      </w:r>
      <w:r w:rsidR="00491FF5" w:rsidRPr="00064917">
        <w:t xml:space="preserve">As regards Mr Mohammed, the court noted that </w:t>
      </w:r>
      <w:r w:rsidR="0042241B">
        <w:t>the trial judge</w:t>
      </w:r>
      <w:r w:rsidR="00491FF5" w:rsidRPr="00064917">
        <w:t xml:space="preserve"> had accepted that the wrong caution </w:t>
      </w:r>
      <w:r w:rsidR="00384334">
        <w:t>had been</w:t>
      </w:r>
      <w:r w:rsidR="00491FF5" w:rsidRPr="00064917">
        <w:t xml:space="preserve"> given and that access to legal advice </w:t>
      </w:r>
      <w:r w:rsidR="00384334">
        <w:t>had been</w:t>
      </w:r>
      <w:r w:rsidR="00491FF5" w:rsidRPr="00064917">
        <w:t xml:space="preserve"> delayed for almost four hours. </w:t>
      </w:r>
      <w:r w:rsidR="007E2347">
        <w:t xml:space="preserve">However, he </w:t>
      </w:r>
      <w:r w:rsidR="004C7DF6">
        <w:t>had been</w:t>
      </w:r>
      <w:r w:rsidR="00491FF5" w:rsidRPr="00064917">
        <w:t xml:space="preserve"> confident that the interview </w:t>
      </w:r>
      <w:r w:rsidR="004C7DF6">
        <w:t>had been</w:t>
      </w:r>
      <w:r w:rsidR="00491FF5" w:rsidRPr="00064917">
        <w:t xml:space="preserve"> a genuine safety interview</w:t>
      </w:r>
      <w:r w:rsidR="009D2E51">
        <w:t>, observing that it</w:t>
      </w:r>
      <w:r w:rsidR="00491FF5" w:rsidRPr="00064917">
        <w:t xml:space="preserve"> had lasted eight minutes and </w:t>
      </w:r>
      <w:r w:rsidR="009D2E51">
        <w:t>had</w:t>
      </w:r>
      <w:r w:rsidR="00491FF5" w:rsidRPr="00064917">
        <w:t xml:space="preserve"> not </w:t>
      </w:r>
      <w:r w:rsidR="009D2E51">
        <w:t xml:space="preserve">been </w:t>
      </w:r>
      <w:r w:rsidR="00491FF5" w:rsidRPr="00064917">
        <w:t xml:space="preserve">held in coercive </w:t>
      </w:r>
      <w:r w:rsidR="009D2E51">
        <w:t>conditions</w:t>
      </w:r>
      <w:r w:rsidR="00491FF5" w:rsidRPr="00064917">
        <w:t>. The court could see no</w:t>
      </w:r>
      <w:r w:rsidR="00F84176">
        <w:t xml:space="preserve"> basis for interfering with </w:t>
      </w:r>
      <w:r w:rsidR="007E2347">
        <w:t>the</w:t>
      </w:r>
      <w:r w:rsidR="00F84176">
        <w:t xml:space="preserve"> decision </w:t>
      </w:r>
      <w:r w:rsidR="00491FF5" w:rsidRPr="00064917">
        <w:t>that the admission of the evidence did not render the trial unfair.</w:t>
      </w:r>
    </w:p>
    <w:p w:rsidR="009E3365" w:rsidRDefault="00E12807" w:rsidP="00E12807">
      <w:pPr>
        <w:pStyle w:val="ECHRHeading2"/>
      </w:pPr>
      <w:r>
        <w:t>C</w:t>
      </w:r>
      <w:r w:rsidR="006412E9">
        <w:t>.  </w:t>
      </w:r>
      <w:r w:rsidR="009E3365">
        <w:t xml:space="preserve">The </w:t>
      </w:r>
      <w:r w:rsidR="003D0BC4">
        <w:t xml:space="preserve">case of the </w:t>
      </w:r>
      <w:r w:rsidR="009E3365">
        <w:t>fourth applicant</w:t>
      </w:r>
    </w:p>
    <w:p w:rsidR="00625648" w:rsidRDefault="00E12807" w:rsidP="00E12807">
      <w:pPr>
        <w:pStyle w:val="ECHRHeading3"/>
      </w:pPr>
      <w:r>
        <w:t>1.</w:t>
      </w:r>
      <w:r w:rsidR="006412E9">
        <w:t>  </w:t>
      </w:r>
      <w:r w:rsidR="00384334">
        <w:t>Events leading to the fourth applicant</w:t>
      </w:r>
      <w:r w:rsidR="005E7B7A">
        <w:t>’</w:t>
      </w:r>
      <w:r w:rsidR="00384334">
        <w:t>s questioning by the police</w:t>
      </w:r>
    </w:p>
    <w:p w:rsidR="00625648" w:rsidRDefault="00555E80" w:rsidP="008476CE">
      <w:pPr>
        <w:pStyle w:val="JuPara"/>
      </w:pPr>
      <w:r>
        <w:fldChar w:fldCharType="begin"/>
      </w:r>
      <w:r>
        <w:instrText xml:space="preserve"> SEQ level0 \*arabic </w:instrText>
      </w:r>
      <w:r>
        <w:fldChar w:fldCharType="separate"/>
      </w:r>
      <w:r w:rsidR="00517F95">
        <w:rPr>
          <w:noProof/>
        </w:rPr>
        <w:t>99</w:t>
      </w:r>
      <w:r>
        <w:rPr>
          <w:noProof/>
        </w:rPr>
        <w:fldChar w:fldCharType="end"/>
      </w:r>
      <w:r w:rsidR="006412E9">
        <w:t>.  </w:t>
      </w:r>
      <w:r w:rsidR="0021480B">
        <w:t>T</w:t>
      </w:r>
      <w:r w:rsidR="00625648">
        <w:t xml:space="preserve">he fourth applicant was </w:t>
      </w:r>
      <w:r w:rsidR="00384334">
        <w:t>a friend</w:t>
      </w:r>
      <w:r w:rsidR="00625648">
        <w:t xml:space="preserve"> </w:t>
      </w:r>
      <w:r w:rsidR="00384334">
        <w:t>of</w:t>
      </w:r>
      <w:r w:rsidR="00625648">
        <w:t xml:space="preserve"> Mr Osman, having bee</w:t>
      </w:r>
      <w:r w:rsidR="0021480B">
        <w:t>n introduced to him by Mr Osman</w:t>
      </w:r>
      <w:r w:rsidR="005E7B7A">
        <w:t>’</w:t>
      </w:r>
      <w:r w:rsidR="00625648">
        <w:t xml:space="preserve">s brother, </w:t>
      </w:r>
      <w:r w:rsidR="009D2E51">
        <w:t xml:space="preserve">Mr </w:t>
      </w:r>
      <w:r w:rsidR="0021480B">
        <w:t>Abdul Sherif</w:t>
      </w:r>
      <w:r w:rsidR="008476CE">
        <w:t>, in around 1999</w:t>
      </w:r>
      <w:r w:rsidR="00625648">
        <w:t xml:space="preserve">. </w:t>
      </w:r>
      <w:r w:rsidR="00384334">
        <w:t>O</w:t>
      </w:r>
      <w:r w:rsidR="00384334" w:rsidRPr="009865D2">
        <w:t>n 23 July</w:t>
      </w:r>
      <w:r w:rsidR="00384334">
        <w:t xml:space="preserve"> 2005, </w:t>
      </w:r>
      <w:r w:rsidR="008476CE">
        <w:t xml:space="preserve">two days after the attempted bombings, </w:t>
      </w:r>
      <w:r w:rsidR="00384334">
        <w:t>t</w:t>
      </w:r>
      <w:r w:rsidR="00625648">
        <w:t>he fourth applicant</w:t>
      </w:r>
      <w:r w:rsidR="00625648" w:rsidRPr="009865D2">
        <w:t xml:space="preserve"> </w:t>
      </w:r>
      <w:r w:rsidR="008476CE">
        <w:t>bumped into</w:t>
      </w:r>
      <w:r w:rsidR="00625648" w:rsidRPr="009865D2">
        <w:t xml:space="preserve"> </w:t>
      </w:r>
      <w:r w:rsidR="00625648">
        <w:t xml:space="preserve">Mr </w:t>
      </w:r>
      <w:r w:rsidR="00625648" w:rsidRPr="009865D2">
        <w:t xml:space="preserve">Osman at Clapham Junction </w:t>
      </w:r>
      <w:r w:rsidR="008476CE">
        <w:t>train s</w:t>
      </w:r>
      <w:r w:rsidR="00625648" w:rsidRPr="009865D2">
        <w:t>tation</w:t>
      </w:r>
      <w:r w:rsidR="008476CE">
        <w:t xml:space="preserve"> as </w:t>
      </w:r>
      <w:r w:rsidR="00DE3D0E">
        <w:t>the former</w:t>
      </w:r>
      <w:r w:rsidR="008476CE">
        <w:t xml:space="preserve"> was </w:t>
      </w:r>
      <w:r w:rsidR="00E12807">
        <w:t>getting on</w:t>
      </w:r>
      <w:r w:rsidR="008476CE">
        <w:t xml:space="preserve"> a train home</w:t>
      </w:r>
      <w:r w:rsidR="00625648" w:rsidRPr="009865D2">
        <w:t xml:space="preserve">. </w:t>
      </w:r>
      <w:r w:rsidR="00384334">
        <w:t xml:space="preserve">The two men returned together to the </w:t>
      </w:r>
      <w:r w:rsidR="00384334">
        <w:lastRenderedPageBreak/>
        <w:t>fourth applicant</w:t>
      </w:r>
      <w:r w:rsidR="005E7B7A">
        <w:t>’</w:t>
      </w:r>
      <w:r w:rsidR="00384334">
        <w:t xml:space="preserve">s home. </w:t>
      </w:r>
      <w:r w:rsidR="00224799">
        <w:t>Mr Osman then stayed with the fourth applicant until 2</w:t>
      </w:r>
      <w:r w:rsidR="00712F57">
        <w:t>6</w:t>
      </w:r>
      <w:r w:rsidR="00224799">
        <w:t xml:space="preserve"> July.</w:t>
      </w:r>
    </w:p>
    <w:p w:rsidR="00384334" w:rsidRDefault="00555E80" w:rsidP="00224799">
      <w:pPr>
        <w:pStyle w:val="JuPara"/>
      </w:pPr>
      <w:r>
        <w:fldChar w:fldCharType="begin"/>
      </w:r>
      <w:r>
        <w:instrText xml:space="preserve"> SEQ level0 \*arabic </w:instrText>
      </w:r>
      <w:r>
        <w:fldChar w:fldCharType="separate"/>
      </w:r>
      <w:r w:rsidR="00517F95">
        <w:rPr>
          <w:noProof/>
        </w:rPr>
        <w:t>100</w:t>
      </w:r>
      <w:r>
        <w:rPr>
          <w:noProof/>
        </w:rPr>
        <w:fldChar w:fldCharType="end"/>
      </w:r>
      <w:r w:rsidR="00712F57">
        <w:t>.  </w:t>
      </w:r>
      <w:r w:rsidR="00224799">
        <w:t>Meanwhile, on the afternoon of 2</w:t>
      </w:r>
      <w:r w:rsidR="00712F57">
        <w:t>5</w:t>
      </w:r>
      <w:r w:rsidR="00224799">
        <w:t xml:space="preserve"> July a surveillance camera was filming the entrance to the fourth applicant</w:t>
      </w:r>
      <w:r w:rsidR="005E7B7A">
        <w:t>’</w:t>
      </w:r>
      <w:r w:rsidR="00224799">
        <w:t xml:space="preserve">s block of flats. The camera subsequently zoomed in </w:t>
      </w:r>
      <w:r w:rsidR="00DE3D0E">
        <w:t>on</w:t>
      </w:r>
      <w:r w:rsidR="00224799">
        <w:t xml:space="preserve"> the fourth applicant and his flat. At 6 </w:t>
      </w:r>
      <w:r w:rsidR="00712F57">
        <w:t>p.m</w:t>
      </w:r>
      <w:r w:rsidR="00224799">
        <w:t>., an undercover surveillance officer was deployed in the vicinity of the fourth applicant</w:t>
      </w:r>
      <w:r w:rsidR="005E7B7A">
        <w:t>’</w:t>
      </w:r>
      <w:r w:rsidR="00224799">
        <w:t xml:space="preserve">s home. </w:t>
      </w:r>
      <w:r w:rsidR="00712F57">
        <w:t>On the morning of 26 July, o</w:t>
      </w:r>
      <w:r w:rsidR="00384334">
        <w:t xml:space="preserve">fficers observed the fourth applicant and a man later identified as Mr Osman leaving the address. The fourth applicant accompanied Mr Osman to a bus stop, </w:t>
      </w:r>
      <w:r w:rsidR="00384334" w:rsidRPr="009865D2">
        <w:t xml:space="preserve">where </w:t>
      </w:r>
      <w:r w:rsidR="00384334">
        <w:t xml:space="preserve">Mr </w:t>
      </w:r>
      <w:r w:rsidR="00384334" w:rsidRPr="009865D2">
        <w:t>Osman c</w:t>
      </w:r>
      <w:r w:rsidR="00384334">
        <w:t>aught a bus to Waterloo train station</w:t>
      </w:r>
      <w:r w:rsidR="00384334" w:rsidRPr="009865D2">
        <w:t>.</w:t>
      </w:r>
      <w:r w:rsidR="00384334">
        <w:t xml:space="preserve"> </w:t>
      </w:r>
      <w:r w:rsidR="00DE3D0E">
        <w:t>The fourth applicant returned home</w:t>
      </w:r>
      <w:r w:rsidR="00BD70E6">
        <w:t>.</w:t>
      </w:r>
    </w:p>
    <w:bookmarkStart w:id="62" w:name="Abduvoluntarypolicestation"/>
    <w:p w:rsidR="00384334" w:rsidRDefault="0082058A" w:rsidP="00384334">
      <w:pPr>
        <w:pStyle w:val="JuPara"/>
      </w:pPr>
      <w:r>
        <w:fldChar w:fldCharType="begin"/>
      </w:r>
      <w:r w:rsidR="00C04CCA">
        <w:instrText xml:space="preserve"> SEQ level0 \*arabic </w:instrText>
      </w:r>
      <w:r>
        <w:fldChar w:fldCharType="separate"/>
      </w:r>
      <w:r w:rsidR="00517F95">
        <w:rPr>
          <w:noProof/>
        </w:rPr>
        <w:t>101</w:t>
      </w:r>
      <w:r>
        <w:rPr>
          <w:noProof/>
        </w:rPr>
        <w:fldChar w:fldCharType="end"/>
      </w:r>
      <w:bookmarkEnd w:id="62"/>
      <w:r w:rsidR="00384334">
        <w:t>.</w:t>
      </w:r>
      <w:r w:rsidR="006412E9">
        <w:t>  </w:t>
      </w:r>
      <w:r w:rsidR="00224799">
        <w:t xml:space="preserve">On the morning of 27 July the fourth applicant went to work. </w:t>
      </w:r>
      <w:r w:rsidR="00DE3D0E">
        <w:t>When he was returning from work at</w:t>
      </w:r>
      <w:r w:rsidR="00384334">
        <w:t xml:space="preserve"> around 5.30 p.m</w:t>
      </w:r>
      <w:r w:rsidR="00DE3D0E">
        <w:t xml:space="preserve">., </w:t>
      </w:r>
      <w:r w:rsidR="00224799">
        <w:t xml:space="preserve">he </w:t>
      </w:r>
      <w:r w:rsidR="00384334">
        <w:t>was approached by two police officers who</w:t>
      </w:r>
      <w:r w:rsidR="00105328">
        <w:t xml:space="preserve"> sought his assistance as a potential witness in the </w:t>
      </w:r>
      <w:r w:rsidR="00DE3D0E">
        <w:t>investigation</w:t>
      </w:r>
      <w:r w:rsidR="00105328">
        <w:t xml:space="preserve">. He agreed to </w:t>
      </w:r>
      <w:r w:rsidR="00DE3D0E">
        <w:t xml:space="preserve">assist them and accompanied </w:t>
      </w:r>
      <w:r w:rsidR="00105328">
        <w:t>them</w:t>
      </w:r>
      <w:r w:rsidR="00384334">
        <w:t xml:space="preserve"> to Kennington Police Station.</w:t>
      </w:r>
    </w:p>
    <w:p w:rsidR="00143978" w:rsidRDefault="00DE3D0E" w:rsidP="00DE3D0E">
      <w:pPr>
        <w:pStyle w:val="ECHRHeading3"/>
      </w:pPr>
      <w:r>
        <w:t>2</w:t>
      </w:r>
      <w:r w:rsidR="00143A86">
        <w:t>.</w:t>
      </w:r>
      <w:r w:rsidR="006412E9">
        <w:t>  </w:t>
      </w:r>
      <w:r w:rsidR="00143978">
        <w:t>The</w:t>
      </w:r>
      <w:r w:rsidR="00A85AA7">
        <w:t xml:space="preserve"> police</w:t>
      </w:r>
      <w:r w:rsidR="00143978">
        <w:t xml:space="preserve"> interviews</w:t>
      </w:r>
    </w:p>
    <w:p w:rsidR="00224799" w:rsidRDefault="003422EE" w:rsidP="00DE3D0E">
      <w:pPr>
        <w:pStyle w:val="ECHRHeading4"/>
        <w:rPr>
          <w:noProof/>
        </w:rPr>
      </w:pPr>
      <w:r>
        <w:rPr>
          <w:noProof/>
        </w:rPr>
        <w:t>(</w:t>
      </w:r>
      <w:r w:rsidR="00DE3D0E">
        <w:rPr>
          <w:noProof/>
        </w:rPr>
        <w:t>a</w:t>
      </w:r>
      <w:r>
        <w:rPr>
          <w:noProof/>
        </w:rPr>
        <w:t>)</w:t>
      </w:r>
      <w:r w:rsidR="006412E9">
        <w:rPr>
          <w:noProof/>
        </w:rPr>
        <w:t>  </w:t>
      </w:r>
      <w:r w:rsidR="00224799">
        <w:rPr>
          <w:noProof/>
        </w:rPr>
        <w:t>The interview</w:t>
      </w:r>
      <w:r>
        <w:rPr>
          <w:noProof/>
        </w:rPr>
        <w:t>s as a witness</w:t>
      </w:r>
    </w:p>
    <w:p w:rsidR="00DE3D0E" w:rsidRDefault="0082058A" w:rsidP="00DE3D0E">
      <w:pPr>
        <w:pStyle w:val="JuPara"/>
      </w:pPr>
      <w:r>
        <w:rPr>
          <w:noProof/>
        </w:rPr>
        <w:fldChar w:fldCharType="begin"/>
      </w:r>
      <w:r w:rsidR="005D672A">
        <w:rPr>
          <w:noProof/>
        </w:rPr>
        <w:instrText xml:space="preserve"> SEQ level0 \*arabic </w:instrText>
      </w:r>
      <w:r>
        <w:rPr>
          <w:noProof/>
        </w:rPr>
        <w:fldChar w:fldCharType="separate"/>
      </w:r>
      <w:bookmarkStart w:id="63" w:name="Abdustartinterview"/>
      <w:r w:rsidR="00517F95">
        <w:rPr>
          <w:noProof/>
        </w:rPr>
        <w:t>102</w:t>
      </w:r>
      <w:bookmarkEnd w:id="63"/>
      <w:r>
        <w:rPr>
          <w:noProof/>
        </w:rPr>
        <w:fldChar w:fldCharType="end"/>
      </w:r>
      <w:r w:rsidR="005D672A">
        <w:rPr>
          <w:noProof/>
        </w:rPr>
        <w:t>.</w:t>
      </w:r>
      <w:r w:rsidR="006412E9">
        <w:rPr>
          <w:noProof/>
        </w:rPr>
        <w:t>  </w:t>
      </w:r>
      <w:r w:rsidR="005D672A">
        <w:t>The</w:t>
      </w:r>
      <w:r w:rsidR="00105328">
        <w:t xml:space="preserve"> police officers</w:t>
      </w:r>
      <w:r w:rsidR="005D672A">
        <w:t xml:space="preserve"> began interviewing </w:t>
      </w:r>
      <w:r w:rsidR="00105328">
        <w:t>the fourth applicant at 6.15 </w:t>
      </w:r>
      <w:r w:rsidR="005D672A">
        <w:t xml:space="preserve">p.m. </w:t>
      </w:r>
      <w:r w:rsidR="00DE3D0E">
        <w:t>By about 7.15 p.m. the officers considered that, as a result of the answers he was giving, the fourth applicant was in danger of incriminating himself and should be cautioned and informed of his right to legal advice. They sought instructions from a senior officer in charge of the investigation. They were told that they should continue to interview the f</w:t>
      </w:r>
      <w:r w:rsidR="00616007">
        <w:t>ourth applicant as a witness and accordingly did so.</w:t>
      </w:r>
    </w:p>
    <w:bookmarkStart w:id="64" w:name="fourthapplicantaddress"/>
    <w:p w:rsidR="00DC7F7C" w:rsidRDefault="0082058A" w:rsidP="005D672A">
      <w:pPr>
        <w:pStyle w:val="JuPara"/>
      </w:pPr>
      <w:r>
        <w:fldChar w:fldCharType="begin"/>
      </w:r>
      <w:r w:rsidR="00C04CCA">
        <w:instrText xml:space="preserve"> SEQ level0 \*arabic </w:instrText>
      </w:r>
      <w:r>
        <w:fldChar w:fldCharType="separate"/>
      </w:r>
      <w:r w:rsidR="00517F95">
        <w:rPr>
          <w:noProof/>
        </w:rPr>
        <w:t>103</w:t>
      </w:r>
      <w:r>
        <w:rPr>
          <w:noProof/>
        </w:rPr>
        <w:fldChar w:fldCharType="end"/>
      </w:r>
      <w:bookmarkEnd w:id="64"/>
      <w:r w:rsidR="00DC7F7C">
        <w:t>.</w:t>
      </w:r>
      <w:r w:rsidR="006412E9">
        <w:t>  </w:t>
      </w:r>
      <w:r w:rsidR="00DC7F7C">
        <w:t xml:space="preserve">At about 12.10 a.m. on 28 July, the fourth applicant was taken with </w:t>
      </w:r>
      <w:r w:rsidR="0021480B">
        <w:t>the two police officers</w:t>
      </w:r>
      <w:r w:rsidR="00DC7F7C">
        <w:t xml:space="preserve"> to point out an address where he believed Mr Osma</w:t>
      </w:r>
      <w:r w:rsidR="00BD70E6">
        <w:t>n lived.</w:t>
      </w:r>
    </w:p>
    <w:bookmarkStart w:id="65" w:name="fourthapplicantWStaken"/>
    <w:p w:rsidR="000444B3" w:rsidRDefault="0082058A" w:rsidP="000444B3">
      <w:pPr>
        <w:pStyle w:val="JuPara"/>
      </w:pPr>
      <w:r>
        <w:rPr>
          <w:noProof/>
        </w:rPr>
        <w:fldChar w:fldCharType="begin"/>
      </w:r>
      <w:r w:rsidR="005D672A">
        <w:rPr>
          <w:noProof/>
        </w:rPr>
        <w:instrText xml:space="preserve"> SEQ level0 \*arabic </w:instrText>
      </w:r>
      <w:r>
        <w:rPr>
          <w:noProof/>
        </w:rPr>
        <w:fldChar w:fldCharType="separate"/>
      </w:r>
      <w:r w:rsidR="00517F95">
        <w:rPr>
          <w:noProof/>
        </w:rPr>
        <w:t>104</w:t>
      </w:r>
      <w:r>
        <w:rPr>
          <w:noProof/>
        </w:rPr>
        <w:fldChar w:fldCharType="end"/>
      </w:r>
      <w:bookmarkEnd w:id="65"/>
      <w:r w:rsidR="005D672A">
        <w:rPr>
          <w:noProof/>
        </w:rPr>
        <w:t>.</w:t>
      </w:r>
      <w:r w:rsidR="006412E9">
        <w:rPr>
          <w:noProof/>
        </w:rPr>
        <w:t>  </w:t>
      </w:r>
      <w:r w:rsidR="005D672A">
        <w:t>Between 1.30 a.m. and 5 a.m. on 28 July,</w:t>
      </w:r>
      <w:r w:rsidR="00DC7F7C">
        <w:t xml:space="preserve"> at the police station,</w:t>
      </w:r>
      <w:r w:rsidR="005D672A">
        <w:t xml:space="preserve"> a witness statement was taken from the</w:t>
      </w:r>
      <w:r w:rsidR="00F6282B">
        <w:t xml:space="preserve"> fourth</w:t>
      </w:r>
      <w:r w:rsidR="005D672A">
        <w:t xml:space="preserve"> applicant</w:t>
      </w:r>
      <w:r w:rsidR="00BD70E6">
        <w:t>.</w:t>
      </w:r>
    </w:p>
    <w:p w:rsidR="00224799" w:rsidRDefault="003422EE" w:rsidP="00DE3D0E">
      <w:pPr>
        <w:pStyle w:val="ECHRHeading4"/>
      </w:pPr>
      <w:r>
        <w:t>(</w:t>
      </w:r>
      <w:r w:rsidR="00DE3D0E">
        <w:t>b</w:t>
      </w:r>
      <w:r>
        <w:t>)</w:t>
      </w:r>
      <w:r w:rsidR="006412E9">
        <w:t>  </w:t>
      </w:r>
      <w:r w:rsidR="00224799">
        <w:t>The witness statement</w:t>
      </w:r>
    </w:p>
    <w:bookmarkStart w:id="66" w:name="AbduWSmeeting"/>
    <w:p w:rsidR="005D672A" w:rsidRDefault="0082058A" w:rsidP="000444B3">
      <w:pPr>
        <w:pStyle w:val="JuPara"/>
      </w:pPr>
      <w:r>
        <w:fldChar w:fldCharType="begin"/>
      </w:r>
      <w:r w:rsidR="00C04CCA">
        <w:instrText xml:space="preserve"> SEQ level0 \*arabic </w:instrText>
      </w:r>
      <w:r>
        <w:fldChar w:fldCharType="separate"/>
      </w:r>
      <w:r w:rsidR="00517F95">
        <w:rPr>
          <w:noProof/>
        </w:rPr>
        <w:t>105</w:t>
      </w:r>
      <w:r>
        <w:rPr>
          <w:noProof/>
        </w:rPr>
        <w:fldChar w:fldCharType="end"/>
      </w:r>
      <w:bookmarkEnd w:id="66"/>
      <w:r w:rsidR="000444B3">
        <w:t>.  In the statement, the fourth applicant</w:t>
      </w:r>
      <w:r w:rsidR="005D672A">
        <w:t xml:space="preserve"> recounted how he had become friends with </w:t>
      </w:r>
      <w:r w:rsidR="00996E0B">
        <w:t xml:space="preserve">Mr </w:t>
      </w:r>
      <w:r w:rsidR="005D672A">
        <w:t xml:space="preserve">Osman </w:t>
      </w:r>
      <w:r w:rsidR="00384334">
        <w:t xml:space="preserve">in </w:t>
      </w:r>
      <w:r w:rsidR="005D672A">
        <w:t>around</w:t>
      </w:r>
      <w:r w:rsidR="00996E0B">
        <w:t xml:space="preserve"> </w:t>
      </w:r>
      <w:r w:rsidR="008476CE">
        <w:t>1999</w:t>
      </w:r>
      <w:r w:rsidR="005D672A">
        <w:t xml:space="preserve"> </w:t>
      </w:r>
      <w:r w:rsidR="00384334">
        <w:t>but</w:t>
      </w:r>
      <w:r w:rsidR="005D672A">
        <w:t xml:space="preserve"> had lost contact with him the following year. He stated that, on 23 July 2005, </w:t>
      </w:r>
      <w:r w:rsidR="00065E57">
        <w:t xml:space="preserve">Mr </w:t>
      </w:r>
      <w:r w:rsidR="005D672A">
        <w:t>Osman had come running up to him at Clapham Junction</w:t>
      </w:r>
      <w:r w:rsidR="00996E0B">
        <w:t xml:space="preserve"> railway station</w:t>
      </w:r>
      <w:r w:rsidR="008476CE">
        <w:t xml:space="preserve"> as he was about to board a train, and the two men had greeted each other as old friends. They had </w:t>
      </w:r>
      <w:r w:rsidR="005D672A">
        <w:t>boarded the same train to Vauxhall</w:t>
      </w:r>
      <w:r w:rsidR="008476CE">
        <w:t xml:space="preserve"> and at the fourth applicant</w:t>
      </w:r>
      <w:r w:rsidR="005E7B7A">
        <w:t>’</w:t>
      </w:r>
      <w:r w:rsidR="008476CE">
        <w:t>s stop, Mr Osman had decided to alight with him on the pretext of wishing to speak about something. As they walked towards</w:t>
      </w:r>
      <w:r w:rsidR="005D672A">
        <w:t xml:space="preserve"> the </w:t>
      </w:r>
      <w:r w:rsidR="004A3819">
        <w:t xml:space="preserve">fourth </w:t>
      </w:r>
      <w:r w:rsidR="005D672A">
        <w:t>applicant</w:t>
      </w:r>
      <w:r w:rsidR="005E7B7A">
        <w:t>’</w:t>
      </w:r>
      <w:r w:rsidR="005D672A">
        <w:t>s home</w:t>
      </w:r>
      <w:r w:rsidR="008476CE">
        <w:t xml:space="preserve">, </w:t>
      </w:r>
      <w:r w:rsidR="00384334">
        <w:t>Mr </w:t>
      </w:r>
      <w:r w:rsidR="00996E0B">
        <w:t>Osman</w:t>
      </w:r>
      <w:r w:rsidR="00384334">
        <w:t xml:space="preserve"> had</w:t>
      </w:r>
      <w:r w:rsidR="00996E0B">
        <w:t xml:space="preserve"> told the </w:t>
      </w:r>
      <w:r w:rsidR="00A422BE">
        <w:t xml:space="preserve">fourth </w:t>
      </w:r>
      <w:r w:rsidR="00996E0B">
        <w:t>applicant that he was in</w:t>
      </w:r>
      <w:r w:rsidR="004C7DF6">
        <w:t xml:space="preserve"> </w:t>
      </w:r>
      <w:r w:rsidR="008476CE">
        <w:t>trouble with the police. He claimed to have stolen some money and to have escaped from police custody</w:t>
      </w:r>
      <w:r w:rsidR="00996E0B">
        <w:t xml:space="preserve">. </w:t>
      </w:r>
      <w:r w:rsidR="008476CE">
        <w:t>When they arrived at</w:t>
      </w:r>
      <w:r w:rsidR="00322651">
        <w:t xml:space="preserve"> the fourth applicant</w:t>
      </w:r>
      <w:r w:rsidR="005E7B7A">
        <w:t>’</w:t>
      </w:r>
      <w:r w:rsidR="00322651">
        <w:t xml:space="preserve">s flat, </w:t>
      </w:r>
      <w:r w:rsidR="008476CE">
        <w:t xml:space="preserve">Mr Osman </w:t>
      </w:r>
      <w:r w:rsidR="008476CE">
        <w:lastRenderedPageBreak/>
        <w:t>had asked him to put on the television</w:t>
      </w:r>
      <w:r w:rsidR="005D672A">
        <w:t xml:space="preserve">, </w:t>
      </w:r>
      <w:r w:rsidR="009A61DD">
        <w:t xml:space="preserve">and together they </w:t>
      </w:r>
      <w:r w:rsidR="00341D87">
        <w:t xml:space="preserve">had </w:t>
      </w:r>
      <w:r w:rsidR="009A61DD">
        <w:t>watched a</w:t>
      </w:r>
      <w:r w:rsidR="005D672A">
        <w:t xml:space="preserve"> report of the attempted bombings </w:t>
      </w:r>
      <w:r w:rsidR="009A61DD">
        <w:t>which</w:t>
      </w:r>
      <w:r w:rsidR="005D672A">
        <w:t xml:space="preserve"> showed photographs of the men sought by the police. </w:t>
      </w:r>
      <w:r w:rsidR="00384334">
        <w:t>M</w:t>
      </w:r>
      <w:r w:rsidR="00065E57">
        <w:t xml:space="preserve">r </w:t>
      </w:r>
      <w:r w:rsidR="005D672A">
        <w:t xml:space="preserve">Osman had </w:t>
      </w:r>
      <w:r w:rsidR="009A61DD">
        <w:t xml:space="preserve">then said that he knew the men and that they were good men. When the photograph of a fourth man sought in connection with the attacks appeared on screen, Mr Osman had </w:t>
      </w:r>
      <w:r w:rsidR="005D672A">
        <w:t>point</w:t>
      </w:r>
      <w:r w:rsidR="0021480B">
        <w:t>ed at the screen and said</w:t>
      </w:r>
      <w:r w:rsidR="00FE6B5B">
        <w:t>,</w:t>
      </w:r>
      <w:r w:rsidR="0021480B">
        <w:t xml:space="preserve"> “that</w:t>
      </w:r>
      <w:r w:rsidR="005E7B7A">
        <w:t>’</w:t>
      </w:r>
      <w:r w:rsidR="005D672A">
        <w:t>s me”.</w:t>
      </w:r>
      <w:r w:rsidR="009A61DD">
        <w:t xml:space="preserve"> At first the fourth applicant had not believed him since the photograph did not resemble Mr Osman. But as </w:t>
      </w:r>
      <w:r w:rsidR="00B34516">
        <w:t>Mr </w:t>
      </w:r>
      <w:r w:rsidR="005D672A">
        <w:t xml:space="preserve">Osman </w:t>
      </w:r>
      <w:r w:rsidR="009A61DD">
        <w:t xml:space="preserve">had continued </w:t>
      </w:r>
      <w:r w:rsidR="005D672A">
        <w:t>to discuss the justification for the attacks</w:t>
      </w:r>
      <w:r w:rsidR="009A61DD">
        <w:t xml:space="preserve">, the fourth applicant had begun to realise that he was telling the truth. He had become frightened and </w:t>
      </w:r>
      <w:r w:rsidR="00341D87">
        <w:t xml:space="preserve">had </w:t>
      </w:r>
      <w:r w:rsidR="009A61DD">
        <w:t xml:space="preserve">wanted Mr Osman out of his home. </w:t>
      </w:r>
      <w:r w:rsidR="00065E57">
        <w:t xml:space="preserve">Mr </w:t>
      </w:r>
      <w:r w:rsidR="005D672A">
        <w:t xml:space="preserve">Osman </w:t>
      </w:r>
      <w:r w:rsidR="009A61DD">
        <w:t>had then asked</w:t>
      </w:r>
      <w:r w:rsidR="005D672A">
        <w:t xml:space="preserve"> to stay with </w:t>
      </w:r>
      <w:r w:rsidR="009A61DD">
        <w:t xml:space="preserve">the fourth applicant for two nights and, fearing for his personal safety if he refused, the </w:t>
      </w:r>
      <w:r w:rsidR="00341D87">
        <w:t xml:space="preserve">fourth </w:t>
      </w:r>
      <w:r w:rsidR="009A61DD">
        <w:t>applicant had acceded to the request.</w:t>
      </w:r>
    </w:p>
    <w:bookmarkStart w:id="67" w:name="WSthighinjury"/>
    <w:bookmarkStart w:id="68" w:name="AbduWSthighinjury"/>
    <w:p w:rsidR="00A720A6" w:rsidRDefault="0082058A" w:rsidP="00A720A6">
      <w:pPr>
        <w:pStyle w:val="JuPara"/>
      </w:pPr>
      <w:r>
        <w:fldChar w:fldCharType="begin"/>
      </w:r>
      <w:r w:rsidR="00C04CCA">
        <w:instrText xml:space="preserve"> SEQ level0 \*arabic </w:instrText>
      </w:r>
      <w:r>
        <w:fldChar w:fldCharType="separate"/>
      </w:r>
      <w:r w:rsidR="00517F95">
        <w:rPr>
          <w:noProof/>
        </w:rPr>
        <w:t>106</w:t>
      </w:r>
      <w:r>
        <w:rPr>
          <w:noProof/>
        </w:rPr>
        <w:fldChar w:fldCharType="end"/>
      </w:r>
      <w:bookmarkEnd w:id="67"/>
      <w:bookmarkEnd w:id="68"/>
      <w:r w:rsidR="005D672A">
        <w:t>.</w:t>
      </w:r>
      <w:r w:rsidR="006412E9">
        <w:t>  </w:t>
      </w:r>
      <w:r w:rsidR="005D672A">
        <w:t xml:space="preserve">The witness statement also </w:t>
      </w:r>
      <w:r w:rsidR="009D2E51">
        <w:t xml:space="preserve">described </w:t>
      </w:r>
      <w:r w:rsidR="009A61DD">
        <w:t xml:space="preserve">an injury to </w:t>
      </w:r>
      <w:r w:rsidR="009D2E51">
        <w:t>Mr Osman</w:t>
      </w:r>
      <w:r w:rsidR="005E7B7A">
        <w:t>’</w:t>
      </w:r>
      <w:r w:rsidR="009D2E51">
        <w:t>s</w:t>
      </w:r>
      <w:r w:rsidR="009A61DD">
        <w:t xml:space="preserve"> thigh</w:t>
      </w:r>
      <w:r w:rsidR="009D2E51">
        <w:t>,</w:t>
      </w:r>
      <w:r w:rsidR="005D672A">
        <w:t xml:space="preserve"> which </w:t>
      </w:r>
      <w:r w:rsidR="009A61DD">
        <w:t>he had</w:t>
      </w:r>
      <w:r w:rsidR="00384334">
        <w:t xml:space="preserve"> </w:t>
      </w:r>
      <w:r w:rsidR="005D672A">
        <w:t xml:space="preserve">said </w:t>
      </w:r>
      <w:r w:rsidR="00384334">
        <w:t>was</w:t>
      </w:r>
      <w:r w:rsidR="005D672A">
        <w:t xml:space="preserve"> </w:t>
      </w:r>
      <w:r w:rsidR="00384334">
        <w:t>incurred</w:t>
      </w:r>
      <w:r w:rsidR="005D672A">
        <w:t xml:space="preserve"> while escaping after his bomb had failed to explode. </w:t>
      </w:r>
      <w:r w:rsidR="009D2E51">
        <w:t>Mr Osman</w:t>
      </w:r>
      <w:r w:rsidR="009A61DD">
        <w:t xml:space="preserve"> had also explained how he had pressed the button to activate his </w:t>
      </w:r>
      <w:r w:rsidR="00BD70E6">
        <w:t xml:space="preserve">bomb but nothing had happened. </w:t>
      </w:r>
      <w:r w:rsidR="009A61DD">
        <w:t xml:space="preserve">He had </w:t>
      </w:r>
      <w:r w:rsidR="009D2E51">
        <w:t>given details of</w:t>
      </w:r>
      <w:r w:rsidR="009A61DD">
        <w:t xml:space="preserve"> his escape from the underground train and his mo</w:t>
      </w:r>
      <w:r w:rsidR="00341D87">
        <w:t>vements over the next two days</w:t>
      </w:r>
      <w:r w:rsidR="009D2E51">
        <w:t>, when he had gone to stay with a friend in Brighton who had lent him a car</w:t>
      </w:r>
      <w:r w:rsidR="00341D87">
        <w:t>.</w:t>
      </w:r>
      <w:r w:rsidR="009A61DD">
        <w:t xml:space="preserve"> He had </w:t>
      </w:r>
      <w:r w:rsidR="005D672A">
        <w:t xml:space="preserve">shown the </w:t>
      </w:r>
      <w:r w:rsidR="00A422BE">
        <w:t xml:space="preserve">fourth </w:t>
      </w:r>
      <w:r w:rsidR="005D672A">
        <w:t xml:space="preserve">applicant photographs of the other bombers in a national newspaper </w:t>
      </w:r>
      <w:r w:rsidR="009A61DD">
        <w:t xml:space="preserve">which he had brought with him </w:t>
      </w:r>
      <w:r w:rsidR="005D672A">
        <w:t xml:space="preserve">and </w:t>
      </w:r>
      <w:r w:rsidR="00341D87">
        <w:t>revealed</w:t>
      </w:r>
      <w:r w:rsidR="005D672A">
        <w:t xml:space="preserve"> their names.</w:t>
      </w:r>
      <w:r w:rsidR="009A61DD">
        <w:t xml:space="preserve"> </w:t>
      </w:r>
      <w:r w:rsidR="00C63F8A">
        <w:t>The fourth applicant</w:t>
      </w:r>
      <w:r w:rsidR="009A61DD">
        <w:t xml:space="preserve"> was shown a number of photographs by the police and confirmed the identity of three of the males photographed according to the information provided by Mr Osman.</w:t>
      </w:r>
      <w:r w:rsidR="00A720A6">
        <w:t xml:space="preserve"> </w:t>
      </w:r>
      <w:r w:rsidR="00C63F8A">
        <w:t xml:space="preserve">The fourth applicant also explained that Mr Osman had mentioned a fifth bomber who had not detonated his bomb; the fourth applicant did not know the identity of this person. </w:t>
      </w:r>
      <w:r w:rsidR="009A61DD">
        <w:t>The fourth applicant explained that Mr Osman had made a few calls from his mobile phone, but had spoken in Eritrean.</w:t>
      </w:r>
    </w:p>
    <w:bookmarkStart w:id="69" w:name="AbduWSbombmaking"/>
    <w:p w:rsidR="005D672A" w:rsidRDefault="0082058A" w:rsidP="00A720A6">
      <w:pPr>
        <w:pStyle w:val="JuPara"/>
      </w:pPr>
      <w:r>
        <w:fldChar w:fldCharType="begin"/>
      </w:r>
      <w:r w:rsidR="00C04CCA">
        <w:instrText xml:space="preserve"> SEQ level0 \*arabic </w:instrText>
      </w:r>
      <w:r>
        <w:fldChar w:fldCharType="separate"/>
      </w:r>
      <w:r w:rsidR="00517F95">
        <w:rPr>
          <w:noProof/>
        </w:rPr>
        <w:t>107</w:t>
      </w:r>
      <w:r>
        <w:rPr>
          <w:noProof/>
        </w:rPr>
        <w:fldChar w:fldCharType="end"/>
      </w:r>
      <w:bookmarkEnd w:id="69"/>
      <w:r w:rsidR="00C63F8A">
        <w:t>.  </w:t>
      </w:r>
      <w:r w:rsidR="00341D87">
        <w:t>The next day, c</w:t>
      </w:r>
      <w:r w:rsidR="00A720A6">
        <w:t xml:space="preserve">onversation with Mr Osman </w:t>
      </w:r>
      <w:r w:rsidR="00341D87">
        <w:t>had been</w:t>
      </w:r>
      <w:r w:rsidR="00A720A6">
        <w:t xml:space="preserve"> limited. However, he had</w:t>
      </w:r>
      <w:r w:rsidR="00384334">
        <w:t xml:space="preserve"> </w:t>
      </w:r>
      <w:r w:rsidR="005D672A">
        <w:t>told the</w:t>
      </w:r>
      <w:r w:rsidR="004A3819">
        <w:t xml:space="preserve"> fourth</w:t>
      </w:r>
      <w:r w:rsidR="005D672A">
        <w:t xml:space="preserve"> applicant how the bombers had prepared their bombs and </w:t>
      </w:r>
      <w:r w:rsidR="00384334">
        <w:t>had given</w:t>
      </w:r>
      <w:r w:rsidR="005D672A">
        <w:t xml:space="preserve"> him details of videos the group had recorded prior to the bombings, in which they </w:t>
      </w:r>
      <w:r w:rsidR="0033385C">
        <w:t xml:space="preserve">had </w:t>
      </w:r>
      <w:r w:rsidR="005D672A">
        <w:t>explained their actions.</w:t>
      </w:r>
      <w:r w:rsidR="00A720A6">
        <w:t xml:space="preserve"> </w:t>
      </w:r>
      <w:r w:rsidR="00341D87">
        <w:t xml:space="preserve">Mr Osman </w:t>
      </w:r>
      <w:r w:rsidR="00A720A6">
        <w:t>had made another call on his mobile</w:t>
      </w:r>
      <w:r w:rsidR="00341D87">
        <w:t xml:space="preserve"> in the afternoon</w:t>
      </w:r>
      <w:r w:rsidR="00A720A6">
        <w:t xml:space="preserve">. He </w:t>
      </w:r>
      <w:r w:rsidR="00341D87">
        <w:t>had gone</w:t>
      </w:r>
      <w:r w:rsidR="00A720A6">
        <w:t xml:space="preserve"> out briefly later that night and</w:t>
      </w:r>
      <w:r w:rsidR="009D2E51">
        <w:t xml:space="preserve"> had</w:t>
      </w:r>
      <w:r w:rsidR="00A720A6">
        <w:t xml:space="preserve"> returned with cash. He </w:t>
      </w:r>
      <w:r w:rsidR="009D2E51">
        <w:t xml:space="preserve">had </w:t>
      </w:r>
      <w:r w:rsidR="00A720A6">
        <w:t xml:space="preserve">asked to borrow clothes and the fourth applicant </w:t>
      </w:r>
      <w:r w:rsidR="00341D87">
        <w:t xml:space="preserve">had </w:t>
      </w:r>
      <w:r w:rsidR="00A720A6">
        <w:t>indicated that he should help himself.</w:t>
      </w:r>
    </w:p>
    <w:bookmarkStart w:id="70" w:name="AbduWSdeparture"/>
    <w:p w:rsidR="00C63F8A" w:rsidRDefault="0082058A" w:rsidP="00C63F8A">
      <w:pPr>
        <w:pStyle w:val="JuPara"/>
      </w:pPr>
      <w:r>
        <w:fldChar w:fldCharType="begin"/>
      </w:r>
      <w:r w:rsidR="00C04CCA">
        <w:instrText xml:space="preserve"> SEQ level0 \*arabic </w:instrText>
      </w:r>
      <w:r>
        <w:fldChar w:fldCharType="separate"/>
      </w:r>
      <w:r w:rsidR="00517F95">
        <w:rPr>
          <w:noProof/>
        </w:rPr>
        <w:t>108</w:t>
      </w:r>
      <w:r>
        <w:rPr>
          <w:noProof/>
        </w:rPr>
        <w:fldChar w:fldCharType="end"/>
      </w:r>
      <w:bookmarkEnd w:id="70"/>
      <w:r w:rsidR="00C63F8A">
        <w:t>.  </w:t>
      </w:r>
      <w:r w:rsidR="00A720A6">
        <w:t xml:space="preserve">On </w:t>
      </w:r>
      <w:r w:rsidR="00712F57">
        <w:t xml:space="preserve">the morning of </w:t>
      </w:r>
      <w:r w:rsidR="00A720A6">
        <w:t>2</w:t>
      </w:r>
      <w:r w:rsidR="00712F57">
        <w:t>6</w:t>
      </w:r>
      <w:r w:rsidR="00A720A6">
        <w:t xml:space="preserve"> July Mr Osman had packed a bag and told the fourth applicant that he was going to catch a train </w:t>
      </w:r>
      <w:r w:rsidR="000D3756">
        <w:t>to</w:t>
      </w:r>
      <w:r w:rsidR="00A720A6">
        <w:t xml:space="preserve"> Paris </w:t>
      </w:r>
      <w:r w:rsidR="000D3756">
        <w:t>from</w:t>
      </w:r>
      <w:r w:rsidR="00A720A6">
        <w:t xml:space="preserve"> Waterloo train station.</w:t>
      </w:r>
      <w:r w:rsidR="00C63F8A">
        <w:t xml:space="preserve"> He had left for the station at around 8 a.m. and about an hour later </w:t>
      </w:r>
      <w:r w:rsidR="00322651">
        <w:t xml:space="preserve">had called </w:t>
      </w:r>
      <w:r w:rsidR="0033385C">
        <w:t>the fourth applicant</w:t>
      </w:r>
      <w:r w:rsidR="00322651">
        <w:t xml:space="preserve"> to say </w:t>
      </w:r>
      <w:r w:rsidR="00C63F8A">
        <w:t xml:space="preserve">that </w:t>
      </w:r>
      <w:r w:rsidR="00322651">
        <w:t>he was on a train.</w:t>
      </w:r>
      <w:r w:rsidR="00BB1775">
        <w:t xml:space="preserve"> </w:t>
      </w:r>
      <w:r w:rsidR="00322651">
        <w:t>The fourth applicant</w:t>
      </w:r>
      <w:r w:rsidR="005D672A">
        <w:t xml:space="preserve"> had</w:t>
      </w:r>
      <w:r w:rsidR="00322651">
        <w:t xml:space="preserve"> then</w:t>
      </w:r>
      <w:r w:rsidR="005D672A">
        <w:t xml:space="preserve"> switched off his mobile </w:t>
      </w:r>
      <w:r w:rsidR="004C7DF6">
        <w:t>tele</w:t>
      </w:r>
      <w:r w:rsidR="005D672A">
        <w:t xml:space="preserve">phone so that </w:t>
      </w:r>
      <w:r w:rsidR="00B34516">
        <w:t>Mr </w:t>
      </w:r>
      <w:r w:rsidR="005D672A">
        <w:t>Osman cou</w:t>
      </w:r>
      <w:r w:rsidR="00BD70E6">
        <w:t>ld not contact him any further.</w:t>
      </w:r>
    </w:p>
    <w:bookmarkStart w:id="71" w:name="AbduWSosmanwife"/>
    <w:p w:rsidR="005D672A" w:rsidRDefault="0082058A" w:rsidP="00C63F8A">
      <w:pPr>
        <w:pStyle w:val="JuPara"/>
      </w:pPr>
      <w:r>
        <w:fldChar w:fldCharType="begin"/>
      </w:r>
      <w:r w:rsidR="00C04CCA">
        <w:instrText xml:space="preserve"> SEQ level0 \*arabic </w:instrText>
      </w:r>
      <w:r>
        <w:fldChar w:fldCharType="separate"/>
      </w:r>
      <w:r w:rsidR="00517F95">
        <w:rPr>
          <w:noProof/>
        </w:rPr>
        <w:t>109</w:t>
      </w:r>
      <w:r>
        <w:rPr>
          <w:noProof/>
        </w:rPr>
        <w:fldChar w:fldCharType="end"/>
      </w:r>
      <w:bookmarkEnd w:id="71"/>
      <w:r w:rsidR="00224799">
        <w:t>.  </w:t>
      </w:r>
      <w:r w:rsidR="00C63F8A">
        <w:t>The fourth applicant described Mr Osman</w:t>
      </w:r>
      <w:r w:rsidR="005E7B7A">
        <w:t>’</w:t>
      </w:r>
      <w:r w:rsidR="00C63F8A">
        <w:t>s wife and recorded the fact that he had taken police officers to a block of flats where he believed that Mr Osman and his wife lived. He con</w:t>
      </w:r>
      <w:r w:rsidR="005D672A">
        <w:t xml:space="preserve">cluded </w:t>
      </w:r>
      <w:r w:rsidR="0033385C">
        <w:t>the witness</w:t>
      </w:r>
      <w:r w:rsidR="005D672A">
        <w:t xml:space="preserve"> statement by </w:t>
      </w:r>
      <w:r w:rsidR="005D672A">
        <w:lastRenderedPageBreak/>
        <w:t xml:space="preserve">emphasising that it had been a chance meeting at Clapham Junction and that he had not taken part in any arrangement to assist or harbour </w:t>
      </w:r>
      <w:r w:rsidR="00065E57">
        <w:t xml:space="preserve">Mr </w:t>
      </w:r>
      <w:r w:rsidR="00C63F8A">
        <w:t>Osman. He said that he</w:t>
      </w:r>
      <w:r w:rsidR="005D672A">
        <w:t xml:space="preserve"> had only let </w:t>
      </w:r>
      <w:r w:rsidR="00341D87">
        <w:t>Mr Osman</w:t>
      </w:r>
      <w:r w:rsidR="005D672A">
        <w:t xml:space="preserve"> stay because he </w:t>
      </w:r>
      <w:r w:rsidR="00341D87">
        <w:t>had been</w:t>
      </w:r>
      <w:r w:rsidR="005D672A">
        <w:t xml:space="preserve"> afraid.</w:t>
      </w:r>
    </w:p>
    <w:p w:rsidR="00224799" w:rsidRDefault="003422EE" w:rsidP="00341D87">
      <w:pPr>
        <w:pStyle w:val="ECHRHeading4"/>
      </w:pPr>
      <w:r>
        <w:t>(</w:t>
      </w:r>
      <w:r w:rsidR="00341D87">
        <w:t>c)</w:t>
      </w:r>
      <w:r w:rsidR="006412E9">
        <w:t>  </w:t>
      </w:r>
      <w:r>
        <w:t>The interviews and statements as a suspect</w:t>
      </w:r>
    </w:p>
    <w:bookmarkStart w:id="72" w:name="Abdurefuselegaladvice"/>
    <w:p w:rsidR="005D672A" w:rsidRDefault="0082058A" w:rsidP="005D672A">
      <w:pPr>
        <w:pStyle w:val="JuPara"/>
      </w:pPr>
      <w:r>
        <w:rPr>
          <w:noProof/>
        </w:rPr>
        <w:fldChar w:fldCharType="begin"/>
      </w:r>
      <w:r w:rsidR="005D672A">
        <w:rPr>
          <w:noProof/>
        </w:rPr>
        <w:instrText xml:space="preserve"> SEQ level0 \*arabic </w:instrText>
      </w:r>
      <w:r>
        <w:rPr>
          <w:noProof/>
        </w:rPr>
        <w:fldChar w:fldCharType="separate"/>
      </w:r>
      <w:r w:rsidR="00517F95">
        <w:rPr>
          <w:noProof/>
        </w:rPr>
        <w:t>110</w:t>
      </w:r>
      <w:r>
        <w:rPr>
          <w:noProof/>
        </w:rPr>
        <w:fldChar w:fldCharType="end"/>
      </w:r>
      <w:bookmarkEnd w:id="72"/>
      <w:r w:rsidR="005D672A">
        <w:rPr>
          <w:noProof/>
        </w:rPr>
        <w:t>.</w:t>
      </w:r>
      <w:r w:rsidR="006412E9">
        <w:rPr>
          <w:noProof/>
        </w:rPr>
        <w:t>  </w:t>
      </w:r>
      <w:r w:rsidR="00EF677F">
        <w:rPr>
          <w:noProof/>
        </w:rPr>
        <w:t>After</w:t>
      </w:r>
      <w:r w:rsidR="005D672A">
        <w:t xml:space="preserve"> the witness statement had been signed, </w:t>
      </w:r>
      <w:r w:rsidR="0021480B">
        <w:t>one of the officers</w:t>
      </w:r>
      <w:r w:rsidR="005D672A">
        <w:t xml:space="preserve"> telephoned his superiors to seek further advice and was told to arrest the applicant. The</w:t>
      </w:r>
      <w:r w:rsidR="00A422BE">
        <w:t xml:space="preserve"> fourth</w:t>
      </w:r>
      <w:r w:rsidR="005D672A">
        <w:t xml:space="preserve"> applicant was then arrested and cautioned.</w:t>
      </w:r>
      <w:r w:rsidR="0033385C">
        <w:t xml:space="preserve"> </w:t>
      </w:r>
      <w:r w:rsidR="004B760A">
        <w:t>He was asked whether he wanted the services of a solicitor at that time but declined saying, “No, maybe after interview if it gets serious”.</w:t>
      </w:r>
    </w:p>
    <w:bookmarkStart w:id="73" w:name="AbduWS30jul"/>
    <w:p w:rsidR="005D672A" w:rsidRPr="00E00071" w:rsidRDefault="0082058A" w:rsidP="005D672A">
      <w:pPr>
        <w:pStyle w:val="JuPara"/>
      </w:pPr>
      <w:r>
        <w:rPr>
          <w:noProof/>
        </w:rPr>
        <w:fldChar w:fldCharType="begin"/>
      </w:r>
      <w:r w:rsidR="005D672A">
        <w:rPr>
          <w:noProof/>
        </w:rPr>
        <w:instrText xml:space="preserve"> SEQ level0 \*arabic </w:instrText>
      </w:r>
      <w:r>
        <w:rPr>
          <w:noProof/>
        </w:rPr>
        <w:fldChar w:fldCharType="separate"/>
      </w:r>
      <w:r w:rsidR="00517F95">
        <w:rPr>
          <w:noProof/>
        </w:rPr>
        <w:t>111</w:t>
      </w:r>
      <w:r>
        <w:rPr>
          <w:noProof/>
        </w:rPr>
        <w:fldChar w:fldCharType="end"/>
      </w:r>
      <w:bookmarkEnd w:id="73"/>
      <w:r w:rsidR="005D672A">
        <w:rPr>
          <w:noProof/>
        </w:rPr>
        <w:t>.</w:t>
      </w:r>
      <w:r w:rsidR="006412E9">
        <w:rPr>
          <w:noProof/>
        </w:rPr>
        <w:t>  </w:t>
      </w:r>
      <w:r w:rsidR="005D672A">
        <w:t>On 30 July</w:t>
      </w:r>
      <w:r w:rsidR="00143A86">
        <w:t>, after having sought legal advice,</w:t>
      </w:r>
      <w:r w:rsidR="005D672A">
        <w:t xml:space="preserve"> the</w:t>
      </w:r>
      <w:r w:rsidR="00A422BE">
        <w:t xml:space="preserve"> fourth</w:t>
      </w:r>
      <w:r w:rsidR="005D672A">
        <w:t xml:space="preserve"> applicant was interviewed</w:t>
      </w:r>
      <w:r w:rsidR="00224799">
        <w:t xml:space="preserve"> as a suspect</w:t>
      </w:r>
      <w:r w:rsidR="005D672A">
        <w:t xml:space="preserve"> in the presence of his solicitor. He made no comment to almost all the questions he was asked</w:t>
      </w:r>
      <w:r w:rsidR="001F137A">
        <w:t>. His solicitor indicated that he wished to read a prepared statement in response to the disclosure received. In the prepared statement, the fourth applicant confirmed</w:t>
      </w:r>
      <w:r w:rsidR="005D672A">
        <w:t xml:space="preserve"> that he </w:t>
      </w:r>
      <w:r w:rsidR="00143A86">
        <w:t xml:space="preserve">had </w:t>
      </w:r>
      <w:r w:rsidR="005D672A">
        <w:t xml:space="preserve">had no prior knowledge of the events of 21 July and deplored them. </w:t>
      </w:r>
      <w:r w:rsidR="00300858">
        <w:t>He had been stopped by the police on 27 July and had agreed to assist them in every possible way</w:t>
      </w:r>
      <w:r w:rsidR="00143A86">
        <w:t>; in this respect, he referred to his witness statement of 28 July</w:t>
      </w:r>
      <w:r w:rsidR="00300858">
        <w:t xml:space="preserve">. </w:t>
      </w:r>
      <w:r w:rsidR="00143A86">
        <w:t>He</w:t>
      </w:r>
      <w:r w:rsidR="005D672A">
        <w:t xml:space="preserve"> corrected </w:t>
      </w:r>
      <w:r w:rsidR="00143A86">
        <w:t>the</w:t>
      </w:r>
      <w:r w:rsidR="005D672A">
        <w:t xml:space="preserve"> witness statement </w:t>
      </w:r>
      <w:r w:rsidR="00EF677F">
        <w:t>in so far as it related</w:t>
      </w:r>
      <w:r w:rsidR="005D672A">
        <w:t xml:space="preserve"> to the physical description he had given of </w:t>
      </w:r>
      <w:r w:rsidR="00065E57">
        <w:t xml:space="preserve">Mr </w:t>
      </w:r>
      <w:r w:rsidR="005D672A">
        <w:t>Osman</w:t>
      </w:r>
      <w:r w:rsidR="00EF677F">
        <w:t>. Finally, h</w:t>
      </w:r>
      <w:r w:rsidR="005D672A">
        <w:t xml:space="preserve">e emphasised that the CCTV image of </w:t>
      </w:r>
      <w:r w:rsidR="00065E57">
        <w:t xml:space="preserve">Mr </w:t>
      </w:r>
      <w:r w:rsidR="005D672A">
        <w:t xml:space="preserve">Osman shown on television </w:t>
      </w:r>
      <w:r w:rsidR="00143A86">
        <w:t>had been</w:t>
      </w:r>
      <w:r w:rsidR="005D672A">
        <w:t xml:space="preserve"> unrecognisable and</w:t>
      </w:r>
      <w:r w:rsidR="00143A86">
        <w:t xml:space="preserve"> that</w:t>
      </w:r>
      <w:r w:rsidR="005D672A">
        <w:t xml:space="preserve">, when </w:t>
      </w:r>
      <w:r w:rsidR="00065E57">
        <w:t xml:space="preserve">Mr </w:t>
      </w:r>
      <w:r w:rsidR="005D672A">
        <w:t>Osman had claimed to have participated in the attempted bombings, he had not believed him.</w:t>
      </w:r>
    </w:p>
    <w:bookmarkStart w:id="74" w:name="AbduWSAug"/>
    <w:p w:rsidR="005D672A" w:rsidRDefault="0082058A" w:rsidP="005D672A">
      <w:pPr>
        <w:pStyle w:val="JuPara"/>
      </w:pPr>
      <w:r>
        <w:fldChar w:fldCharType="begin"/>
      </w:r>
      <w:r w:rsidR="00C04CCA">
        <w:instrText xml:space="preserve"> SEQ level0 \*arabic </w:instrText>
      </w:r>
      <w:r>
        <w:fldChar w:fldCharType="separate"/>
      </w:r>
      <w:r w:rsidR="00517F95">
        <w:rPr>
          <w:noProof/>
        </w:rPr>
        <w:t>112</w:t>
      </w:r>
      <w:r>
        <w:rPr>
          <w:noProof/>
        </w:rPr>
        <w:fldChar w:fldCharType="end"/>
      </w:r>
      <w:bookmarkEnd w:id="74"/>
      <w:r w:rsidR="005D672A">
        <w:t>.</w:t>
      </w:r>
      <w:r w:rsidR="006412E9">
        <w:t>  </w:t>
      </w:r>
      <w:r w:rsidR="005D672A">
        <w:t>On 1 August the</w:t>
      </w:r>
      <w:r w:rsidR="00A422BE">
        <w:t xml:space="preserve"> fourth</w:t>
      </w:r>
      <w:r w:rsidR="005D672A">
        <w:t xml:space="preserve"> applicant was interviewed a second time. He again declined to answer questions but insisted that he had been assisting the police from the beginning and did not wish to make any further statements. He was interviewed further on </w:t>
      </w:r>
      <w:r w:rsidR="005D672A" w:rsidRPr="00B51011">
        <w:t xml:space="preserve">2 August and repeated that he was not and never would be a terrorist and had </w:t>
      </w:r>
      <w:r w:rsidR="005D672A">
        <w:t xml:space="preserve">not </w:t>
      </w:r>
      <w:r w:rsidR="005D672A" w:rsidRPr="00B51011">
        <w:t>played any part in what had happened. In his last interview</w:t>
      </w:r>
      <w:r w:rsidR="005D672A">
        <w:t>, on 3</w:t>
      </w:r>
      <w:r w:rsidR="005D672A" w:rsidRPr="00B51011">
        <w:t xml:space="preserve"> August</w:t>
      </w:r>
      <w:r w:rsidR="005D672A">
        <w:t>,</w:t>
      </w:r>
      <w:r w:rsidR="005D672A" w:rsidRPr="00B51011">
        <w:t xml:space="preserve"> he said that everything he knew was contained in his original witness statement.</w:t>
      </w:r>
      <w:r w:rsidR="005D672A">
        <w:t xml:space="preserve"> The</w:t>
      </w:r>
      <w:r w:rsidR="00A422BE">
        <w:t xml:space="preserve"> fourth</w:t>
      </w:r>
      <w:r w:rsidR="005D672A">
        <w:t xml:space="preserve"> applicant was charged at 2.20 p.m. on 3 August 2005.</w:t>
      </w:r>
    </w:p>
    <w:p w:rsidR="00322651" w:rsidRDefault="009178C0" w:rsidP="009178C0">
      <w:pPr>
        <w:pStyle w:val="ECHRHeading3"/>
        <w:rPr>
          <w:noProof/>
        </w:rPr>
      </w:pPr>
      <w:r>
        <w:rPr>
          <w:noProof/>
        </w:rPr>
        <w:t>3.</w:t>
      </w:r>
      <w:r w:rsidR="00F95849">
        <w:rPr>
          <w:noProof/>
        </w:rPr>
        <w:t>  </w:t>
      </w:r>
      <w:r w:rsidR="00322651">
        <w:rPr>
          <w:noProof/>
        </w:rPr>
        <w:t>The</w:t>
      </w:r>
      <w:r>
        <w:rPr>
          <w:noProof/>
        </w:rPr>
        <w:t xml:space="preserve"> fourth applicant</w:t>
      </w:r>
      <w:r w:rsidR="005E7B7A">
        <w:rPr>
          <w:noProof/>
        </w:rPr>
        <w:t>’</w:t>
      </w:r>
      <w:r>
        <w:rPr>
          <w:noProof/>
        </w:rPr>
        <w:t>s</w:t>
      </w:r>
      <w:r w:rsidR="00322651">
        <w:rPr>
          <w:noProof/>
        </w:rPr>
        <w:t xml:space="preserve"> trial</w:t>
      </w:r>
    </w:p>
    <w:p w:rsidR="00EF677F" w:rsidRDefault="00EF677F" w:rsidP="009178C0">
      <w:pPr>
        <w:pStyle w:val="ECHRHeading4"/>
        <w:rPr>
          <w:noProof/>
        </w:rPr>
      </w:pPr>
      <w:bookmarkStart w:id="75" w:name="fourthapplicantstrialstart"/>
      <w:r>
        <w:rPr>
          <w:noProof/>
        </w:rPr>
        <w:t>(</w:t>
      </w:r>
      <w:r w:rsidR="009178C0">
        <w:rPr>
          <w:noProof/>
        </w:rPr>
        <w:t>a)</w:t>
      </w:r>
      <w:r w:rsidR="00F95849">
        <w:rPr>
          <w:noProof/>
        </w:rPr>
        <w:t>  </w:t>
      </w:r>
      <w:r>
        <w:rPr>
          <w:noProof/>
        </w:rPr>
        <w:t>The prosecution case</w:t>
      </w:r>
    </w:p>
    <w:p w:rsidR="0033385C" w:rsidRDefault="0082058A" w:rsidP="0033385C">
      <w:pPr>
        <w:pStyle w:val="JuPara"/>
      </w:pPr>
      <w:r>
        <w:rPr>
          <w:noProof/>
        </w:rPr>
        <w:fldChar w:fldCharType="begin"/>
      </w:r>
      <w:r w:rsidR="005D672A">
        <w:rPr>
          <w:noProof/>
        </w:rPr>
        <w:instrText xml:space="preserve"> SEQ level0 \*arabic </w:instrText>
      </w:r>
      <w:r>
        <w:rPr>
          <w:noProof/>
        </w:rPr>
        <w:fldChar w:fldCharType="separate"/>
      </w:r>
      <w:r w:rsidR="00517F95">
        <w:rPr>
          <w:noProof/>
        </w:rPr>
        <w:t>113</w:t>
      </w:r>
      <w:r>
        <w:rPr>
          <w:noProof/>
        </w:rPr>
        <w:fldChar w:fldCharType="end"/>
      </w:r>
      <w:bookmarkEnd w:id="75"/>
      <w:r w:rsidR="005D672A">
        <w:rPr>
          <w:noProof/>
        </w:rPr>
        <w:t>.</w:t>
      </w:r>
      <w:r w:rsidR="00F95849">
        <w:rPr>
          <w:noProof/>
        </w:rPr>
        <w:t>  </w:t>
      </w:r>
      <w:r w:rsidR="005D672A">
        <w:t xml:space="preserve">The </w:t>
      </w:r>
      <w:r w:rsidR="00A422BE">
        <w:t xml:space="preserve">fourth </w:t>
      </w:r>
      <w:r w:rsidR="005D672A">
        <w:t>applicant was tried with four oth</w:t>
      </w:r>
      <w:r w:rsidR="00322651">
        <w:t xml:space="preserve">er men, including </w:t>
      </w:r>
      <w:r w:rsidR="009D2E51">
        <w:t>Mr</w:t>
      </w:r>
      <w:r w:rsidR="00B34516">
        <w:t> </w:t>
      </w:r>
      <w:r w:rsidR="0021480B">
        <w:t>Sherif</w:t>
      </w:r>
      <w:r w:rsidR="00322651">
        <w:t xml:space="preserve">, at the Crown Court at Kingston before HHJ Worsley QC and a jury. </w:t>
      </w:r>
      <w:r w:rsidR="00642F53">
        <w:t>He was</w:t>
      </w:r>
      <w:r w:rsidR="005D672A">
        <w:t xml:space="preserve"> accused of assisting </w:t>
      </w:r>
      <w:r w:rsidR="00642F53">
        <w:t>Mr Osman</w:t>
      </w:r>
      <w:r w:rsidR="005D672A">
        <w:t xml:space="preserve"> and failing to disclose information after the bombings.</w:t>
      </w:r>
      <w:r w:rsidR="0033385C">
        <w:rPr>
          <w:noProof/>
        </w:rPr>
        <w:t xml:space="preserve"> </w:t>
      </w:r>
      <w:r w:rsidR="0033385C">
        <w:t>The</w:t>
      </w:r>
      <w:r w:rsidR="0033385C" w:rsidRPr="009865D2">
        <w:t xml:space="preserve"> prosecution case was that </w:t>
      </w:r>
      <w:r w:rsidR="00642F53">
        <w:t>he</w:t>
      </w:r>
      <w:r w:rsidR="0033385C" w:rsidRPr="009865D2">
        <w:t xml:space="preserve"> </w:t>
      </w:r>
      <w:r w:rsidR="0033385C">
        <w:t>had been</w:t>
      </w:r>
      <w:r w:rsidR="0033385C" w:rsidRPr="009865D2">
        <w:t xml:space="preserve"> prepared to give </w:t>
      </w:r>
      <w:r w:rsidR="0033385C">
        <w:t>Mr</w:t>
      </w:r>
      <w:r w:rsidR="00BD70E6">
        <w:t xml:space="preserve"> </w:t>
      </w:r>
      <w:r w:rsidR="0033385C">
        <w:t>Osman</w:t>
      </w:r>
      <w:r w:rsidR="0033385C" w:rsidRPr="009865D2">
        <w:t xml:space="preserve"> shelter even though he </w:t>
      </w:r>
      <w:r w:rsidR="009D2E51">
        <w:t>had known</w:t>
      </w:r>
      <w:r w:rsidR="0033385C" w:rsidRPr="009865D2">
        <w:t xml:space="preserve"> that </w:t>
      </w:r>
      <w:r w:rsidR="00B34516">
        <w:t>Mr </w:t>
      </w:r>
      <w:r w:rsidR="0033385C" w:rsidRPr="009865D2">
        <w:t xml:space="preserve">Osman had been involved </w:t>
      </w:r>
      <w:r w:rsidR="00642F53">
        <w:t>in the attacks</w:t>
      </w:r>
      <w:r w:rsidR="0033385C" w:rsidRPr="00C342E1">
        <w:t>.</w:t>
      </w:r>
      <w:r w:rsidR="0033385C">
        <w:t xml:space="preserve"> The prosecution also alleged that the fourth applicant had collected </w:t>
      </w:r>
      <w:r w:rsidR="009D2E51">
        <w:t>Mr</w:t>
      </w:r>
      <w:r w:rsidR="0033385C">
        <w:t xml:space="preserve"> Sherif</w:t>
      </w:r>
      <w:r w:rsidR="005E7B7A">
        <w:t>’</w:t>
      </w:r>
      <w:r w:rsidR="0033385C">
        <w:t>s</w:t>
      </w:r>
      <w:r w:rsidR="0033385C" w:rsidRPr="009865D2">
        <w:t xml:space="preserve"> passport from </w:t>
      </w:r>
      <w:r w:rsidR="009D2E51">
        <w:t>him</w:t>
      </w:r>
      <w:r w:rsidR="0033385C" w:rsidRPr="009865D2">
        <w:t xml:space="preserve"> and </w:t>
      </w:r>
      <w:r w:rsidR="0033385C">
        <w:t>given</w:t>
      </w:r>
      <w:r w:rsidR="0033385C" w:rsidRPr="009865D2">
        <w:t xml:space="preserve"> it to </w:t>
      </w:r>
      <w:r w:rsidR="009D2E51">
        <w:t>Mr</w:t>
      </w:r>
      <w:r w:rsidR="00BD70E6">
        <w:t xml:space="preserve"> </w:t>
      </w:r>
      <w:r w:rsidR="0033385C" w:rsidRPr="009865D2">
        <w:t xml:space="preserve">Osman. </w:t>
      </w:r>
      <w:r w:rsidR="0033385C">
        <w:t>Finally, it was alleged that the fourth applicant had</w:t>
      </w:r>
      <w:r w:rsidR="0033385C" w:rsidRPr="009865D2">
        <w:t xml:space="preserve"> also collected a video camera which</w:t>
      </w:r>
      <w:r w:rsidR="0033385C">
        <w:t xml:space="preserve"> </w:t>
      </w:r>
      <w:r w:rsidR="0033385C" w:rsidRPr="009865D2">
        <w:t xml:space="preserve">had been used to film suicide messages </w:t>
      </w:r>
      <w:r w:rsidR="0033385C" w:rsidRPr="009865D2">
        <w:lastRenderedPageBreak/>
        <w:t>by the would-be bombers</w:t>
      </w:r>
      <w:r w:rsidR="0033385C">
        <w:t>,</w:t>
      </w:r>
      <w:r w:rsidR="0033385C" w:rsidRPr="009865D2">
        <w:t xml:space="preserve"> and </w:t>
      </w:r>
      <w:r w:rsidR="009D2E51">
        <w:t xml:space="preserve">had </w:t>
      </w:r>
      <w:r w:rsidR="0033385C">
        <w:t>given</w:t>
      </w:r>
      <w:r w:rsidR="0033385C" w:rsidRPr="009865D2">
        <w:t xml:space="preserve"> it to </w:t>
      </w:r>
      <w:r w:rsidR="0033385C">
        <w:t>Mr Osman. The suicide messages have never been recovered.</w:t>
      </w:r>
    </w:p>
    <w:p w:rsidR="00EF677F" w:rsidRDefault="00EF677F" w:rsidP="00642F53">
      <w:pPr>
        <w:pStyle w:val="ECHRHeading4"/>
      </w:pPr>
      <w:r>
        <w:t>(</w:t>
      </w:r>
      <w:r w:rsidR="00642F53">
        <w:t>b</w:t>
      </w:r>
      <w:r>
        <w:t>)</w:t>
      </w:r>
      <w:r w:rsidR="00F95849">
        <w:t>  </w:t>
      </w:r>
      <w:r>
        <w:t>The admissibility of the witness statement</w:t>
      </w:r>
    </w:p>
    <w:p w:rsidR="005D672A" w:rsidRPr="00EF397D" w:rsidRDefault="0082058A" w:rsidP="003D421D">
      <w:pPr>
        <w:pStyle w:val="JuPara"/>
      </w:pPr>
      <w:r>
        <w:rPr>
          <w:noProof/>
        </w:rPr>
        <w:fldChar w:fldCharType="begin"/>
      </w:r>
      <w:r w:rsidR="005D672A">
        <w:rPr>
          <w:noProof/>
        </w:rPr>
        <w:instrText xml:space="preserve"> SEQ level0 \*arabic </w:instrText>
      </w:r>
      <w:r>
        <w:rPr>
          <w:noProof/>
        </w:rPr>
        <w:fldChar w:fldCharType="separate"/>
      </w:r>
      <w:r w:rsidR="00517F95">
        <w:rPr>
          <w:noProof/>
        </w:rPr>
        <w:t>114</w:t>
      </w:r>
      <w:r>
        <w:rPr>
          <w:noProof/>
        </w:rPr>
        <w:fldChar w:fldCharType="end"/>
      </w:r>
      <w:r w:rsidR="005D672A">
        <w:rPr>
          <w:noProof/>
        </w:rPr>
        <w:t>.</w:t>
      </w:r>
      <w:r w:rsidR="00F95849">
        <w:rPr>
          <w:noProof/>
        </w:rPr>
        <w:t>  </w:t>
      </w:r>
      <w:r w:rsidR="0033385C">
        <w:t>T</w:t>
      </w:r>
      <w:r w:rsidR="005D672A">
        <w:t xml:space="preserve">he </w:t>
      </w:r>
      <w:r w:rsidR="00A422BE">
        <w:t xml:space="preserve">fourth </w:t>
      </w:r>
      <w:r w:rsidR="005D672A">
        <w:t>applicant applied to have</w:t>
      </w:r>
      <w:r w:rsidR="00DC5690">
        <w:t xml:space="preserve"> the witness statement excluded, relying on four matters.</w:t>
      </w:r>
      <w:r w:rsidR="00BB1775">
        <w:t xml:space="preserve"> </w:t>
      </w:r>
      <w:r w:rsidR="00DC5690">
        <w:t xml:space="preserve">First, that the statement had been taken in breach of </w:t>
      </w:r>
      <w:r w:rsidR="00642F53">
        <w:t>the applicable code of practice</w:t>
      </w:r>
      <w:r w:rsidR="0033385C">
        <w:t>,</w:t>
      </w:r>
      <w:r w:rsidR="00DC5690">
        <w:t xml:space="preserve"> in particular</w:t>
      </w:r>
      <w:r w:rsidR="0033385C">
        <w:t xml:space="preserve"> because he </w:t>
      </w:r>
      <w:r w:rsidR="00DC5690">
        <w:t>had not been cautioned or informed of his entitlement to free legal advice. Second,</w:t>
      </w:r>
      <w:r w:rsidR="00642F53">
        <w:t xml:space="preserve"> that</w:t>
      </w:r>
      <w:r w:rsidR="00DC5690">
        <w:t xml:space="preserve"> the breach </w:t>
      </w:r>
      <w:r w:rsidR="00642F53">
        <w:t>had been</w:t>
      </w:r>
      <w:r w:rsidR="00DC5690">
        <w:t xml:space="preserve"> deliberate.</w:t>
      </w:r>
      <w:r w:rsidR="00BB1775">
        <w:t xml:space="preserve"> </w:t>
      </w:r>
      <w:r w:rsidR="00DC5690">
        <w:t>Third,</w:t>
      </w:r>
      <w:r w:rsidR="00642F53">
        <w:t xml:space="preserve"> that</w:t>
      </w:r>
      <w:r w:rsidR="00DC5690">
        <w:t xml:space="preserve"> </w:t>
      </w:r>
      <w:r w:rsidR="0033385C">
        <w:t>he</w:t>
      </w:r>
      <w:r w:rsidR="00DC5690">
        <w:t xml:space="preserve"> had been induced to make the statement on the pretence that he was a witness and would be </w:t>
      </w:r>
      <w:r w:rsidR="0033385C">
        <w:t>free</w:t>
      </w:r>
      <w:r w:rsidR="00DC5690">
        <w:t xml:space="preserve"> </w:t>
      </w:r>
      <w:r w:rsidR="0033385C">
        <w:t xml:space="preserve">to go </w:t>
      </w:r>
      <w:r w:rsidR="00DC5690">
        <w:t>home after the statement was completed</w:t>
      </w:r>
      <w:r w:rsidR="00955535">
        <w:t>.</w:t>
      </w:r>
      <w:r w:rsidR="00DC5690">
        <w:t xml:space="preserve"> </w:t>
      </w:r>
      <w:r w:rsidR="00981256">
        <w:t xml:space="preserve">Fourth, </w:t>
      </w:r>
      <w:r w:rsidR="00642F53">
        <w:t>that the statement had been</w:t>
      </w:r>
      <w:r w:rsidR="00981256">
        <w:t xml:space="preserve"> taken in the early hours of the morning, when he was tired. As a result of all of these matters, the fourth applicant submitted, the statement was </w:t>
      </w:r>
      <w:r w:rsidR="005D672A" w:rsidRPr="00B51011">
        <w:t xml:space="preserve">a confession made by </w:t>
      </w:r>
      <w:r w:rsidR="005D672A">
        <w:t>him</w:t>
      </w:r>
      <w:r w:rsidR="005D672A" w:rsidRPr="00B51011">
        <w:t xml:space="preserve"> in circumstances likely to render </w:t>
      </w:r>
      <w:r w:rsidR="00981256">
        <w:t>it</w:t>
      </w:r>
      <w:r w:rsidR="005D672A" w:rsidRPr="00B51011">
        <w:t xml:space="preserve"> unreliable pursuant to s</w:t>
      </w:r>
      <w:r w:rsidR="005D672A">
        <w:t>ection </w:t>
      </w:r>
      <w:r w:rsidR="005D672A" w:rsidRPr="00B51011">
        <w:t xml:space="preserve">76(2) of </w:t>
      </w:r>
      <w:r w:rsidR="00981256">
        <w:t xml:space="preserve">PACE. Alternatively, he submitted that it ought to be excluded pursuant to the general discretion to exclude evidence </w:t>
      </w:r>
      <w:r w:rsidR="005D672A" w:rsidRPr="00B51011">
        <w:t>under s</w:t>
      </w:r>
      <w:r w:rsidR="005D672A">
        <w:t>ection</w:t>
      </w:r>
      <w:r w:rsidR="005D672A" w:rsidRPr="00B51011">
        <w:t xml:space="preserve"> 78 of the </w:t>
      </w:r>
      <w:r w:rsidR="005D672A">
        <w:t xml:space="preserve">same </w:t>
      </w:r>
      <w:r w:rsidR="005D672A" w:rsidRPr="00B51011">
        <w:t>Act</w:t>
      </w:r>
      <w:r w:rsidR="00554DA0">
        <w:t xml:space="preserve"> (see paragraphs </w:t>
      </w:r>
      <w:r>
        <w:fldChar w:fldCharType="begin"/>
      </w:r>
      <w:r w:rsidR="00554DA0">
        <w:instrText xml:space="preserve"> REF PACEsection76 \h </w:instrText>
      </w:r>
      <w:r>
        <w:fldChar w:fldCharType="separate"/>
      </w:r>
      <w:r w:rsidR="00517F95">
        <w:rPr>
          <w:noProof/>
        </w:rPr>
        <w:t>152</w:t>
      </w:r>
      <w:r>
        <w:fldChar w:fldCharType="end"/>
      </w:r>
      <w:r w:rsidR="00554DA0">
        <w:t xml:space="preserve"> and </w:t>
      </w:r>
      <w:r>
        <w:fldChar w:fldCharType="begin"/>
      </w:r>
      <w:r w:rsidR="00554DA0">
        <w:instrText xml:space="preserve"> REF PACEsection78 \h </w:instrText>
      </w:r>
      <w:r>
        <w:fldChar w:fldCharType="separate"/>
      </w:r>
      <w:r w:rsidR="00517F95">
        <w:rPr>
          <w:noProof/>
        </w:rPr>
        <w:t>154</w:t>
      </w:r>
      <w:r>
        <w:fldChar w:fldCharType="end"/>
      </w:r>
      <w:r w:rsidR="00554DA0">
        <w:t xml:space="preserve"> below).</w:t>
      </w:r>
    </w:p>
    <w:p w:rsidR="005D672A" w:rsidRDefault="00555E80" w:rsidP="005D672A">
      <w:pPr>
        <w:pStyle w:val="JuPara"/>
      </w:pPr>
      <w:r>
        <w:fldChar w:fldCharType="begin"/>
      </w:r>
      <w:r>
        <w:instrText xml:space="preserve"> SEQ level0 \*arabic </w:instrText>
      </w:r>
      <w:r>
        <w:fldChar w:fldCharType="separate"/>
      </w:r>
      <w:r w:rsidR="00517F95">
        <w:rPr>
          <w:noProof/>
        </w:rPr>
        <w:t>115</w:t>
      </w:r>
      <w:r>
        <w:rPr>
          <w:noProof/>
        </w:rPr>
        <w:fldChar w:fldCharType="end"/>
      </w:r>
      <w:r w:rsidR="005D672A">
        <w:t>.</w:t>
      </w:r>
      <w:r w:rsidR="00F95849">
        <w:t>  </w:t>
      </w:r>
      <w:r w:rsidR="005D672A">
        <w:t xml:space="preserve">The prosecution opposed </w:t>
      </w:r>
      <w:r w:rsidR="0033385C">
        <w:t>the</w:t>
      </w:r>
      <w:r w:rsidR="005D672A">
        <w:t xml:space="preserve"> application but </w:t>
      </w:r>
      <w:r w:rsidR="005D672A" w:rsidRPr="00A321C3">
        <w:t xml:space="preserve">accepted that </w:t>
      </w:r>
      <w:r w:rsidR="005D672A">
        <w:t xml:space="preserve">the witness statement amounted to a confession for the purposes of section 76 of PACE. The prosecution also accepted that </w:t>
      </w:r>
      <w:r w:rsidR="005D672A" w:rsidRPr="00A321C3">
        <w:t xml:space="preserve">there had been a breach </w:t>
      </w:r>
      <w:r w:rsidR="005D672A">
        <w:t xml:space="preserve">of the relevant </w:t>
      </w:r>
      <w:r w:rsidR="00C04CCA">
        <w:t>c</w:t>
      </w:r>
      <w:r w:rsidR="005D672A" w:rsidRPr="00A321C3">
        <w:t>ode</w:t>
      </w:r>
      <w:r w:rsidR="005D672A">
        <w:t xml:space="preserve"> of </w:t>
      </w:r>
      <w:r w:rsidR="00C04CCA">
        <w:t>p</w:t>
      </w:r>
      <w:r w:rsidR="005D672A">
        <w:t>ractice</w:t>
      </w:r>
      <w:r w:rsidR="005D672A" w:rsidRPr="00A321C3">
        <w:t xml:space="preserve"> in failing to caution </w:t>
      </w:r>
      <w:r w:rsidR="005D672A">
        <w:t xml:space="preserve">the </w:t>
      </w:r>
      <w:r w:rsidR="00A422BE">
        <w:t xml:space="preserve">fourth </w:t>
      </w:r>
      <w:r w:rsidR="005D672A">
        <w:t>applicant</w:t>
      </w:r>
      <w:r w:rsidR="005D672A" w:rsidRPr="00A321C3">
        <w:t xml:space="preserve"> or offer him the services of a solicitor when </w:t>
      </w:r>
      <w:r w:rsidR="0021480B">
        <w:t>the two police officers</w:t>
      </w:r>
      <w:r w:rsidR="005D672A" w:rsidRPr="00A321C3">
        <w:t xml:space="preserve"> </w:t>
      </w:r>
      <w:r w:rsidR="00642F53">
        <w:t>had come</w:t>
      </w:r>
      <w:r w:rsidR="005D672A" w:rsidRPr="00A321C3">
        <w:t xml:space="preserve"> to the conclusion that they should take instructions from their superior</w:t>
      </w:r>
      <w:r w:rsidR="005D672A">
        <w:t>s</w:t>
      </w:r>
      <w:r w:rsidR="005D672A" w:rsidRPr="00A321C3">
        <w:t>.</w:t>
      </w:r>
    </w:p>
    <w:bookmarkStart w:id="76" w:name="fourthapplicantstrialvoirdire"/>
    <w:p w:rsidR="005D672A" w:rsidRDefault="0082058A" w:rsidP="005D672A">
      <w:pPr>
        <w:pStyle w:val="JuPara"/>
      </w:pPr>
      <w:r>
        <w:rPr>
          <w:noProof/>
        </w:rPr>
        <w:fldChar w:fldCharType="begin"/>
      </w:r>
      <w:r w:rsidR="005D672A">
        <w:rPr>
          <w:noProof/>
        </w:rPr>
        <w:instrText xml:space="preserve"> SEQ level0 \*arabic </w:instrText>
      </w:r>
      <w:r>
        <w:rPr>
          <w:noProof/>
        </w:rPr>
        <w:fldChar w:fldCharType="separate"/>
      </w:r>
      <w:r w:rsidR="00517F95">
        <w:rPr>
          <w:noProof/>
        </w:rPr>
        <w:t>116</w:t>
      </w:r>
      <w:r>
        <w:rPr>
          <w:noProof/>
        </w:rPr>
        <w:fldChar w:fldCharType="end"/>
      </w:r>
      <w:bookmarkEnd w:id="76"/>
      <w:r w:rsidR="005D672A">
        <w:rPr>
          <w:noProof/>
        </w:rPr>
        <w:t>.</w:t>
      </w:r>
      <w:r w:rsidR="00F95849">
        <w:rPr>
          <w:noProof/>
        </w:rPr>
        <w:t>  </w:t>
      </w:r>
      <w:r w:rsidR="005D672A">
        <w:t xml:space="preserve">At the </w:t>
      </w:r>
      <w:r w:rsidR="005D672A" w:rsidRPr="00570FD4">
        <w:rPr>
          <w:i/>
        </w:rPr>
        <w:t>voir dire</w:t>
      </w:r>
      <w:r w:rsidR="005D672A">
        <w:t xml:space="preserve">, </w:t>
      </w:r>
      <w:r w:rsidR="0021480B">
        <w:t>the two police officers</w:t>
      </w:r>
      <w:r w:rsidR="005D672A">
        <w:t xml:space="preserve"> gave evidence that, when they </w:t>
      </w:r>
      <w:r w:rsidR="005D672A" w:rsidRPr="00BD6AE8">
        <w:t>first approached th</w:t>
      </w:r>
      <w:r w:rsidR="005D672A">
        <w:t>e</w:t>
      </w:r>
      <w:r w:rsidR="005D672A" w:rsidRPr="00BD6AE8">
        <w:t xml:space="preserve"> </w:t>
      </w:r>
      <w:r w:rsidR="004A3819">
        <w:t xml:space="preserve">fourth </w:t>
      </w:r>
      <w:r w:rsidR="005D672A">
        <w:t>applicant</w:t>
      </w:r>
      <w:r w:rsidR="005D672A" w:rsidRPr="00BD6AE8">
        <w:t xml:space="preserve"> on the afternoon of 27 July, it was with a view to his assisting the police as a potential witness. It was </w:t>
      </w:r>
      <w:r w:rsidR="005D672A">
        <w:t xml:space="preserve">also </w:t>
      </w:r>
      <w:r w:rsidR="005D672A" w:rsidRPr="00BD6AE8">
        <w:t xml:space="preserve">accepted </w:t>
      </w:r>
      <w:r w:rsidR="00625648">
        <w:t>by the parties that</w:t>
      </w:r>
      <w:r w:rsidR="005D672A">
        <w:t>,</w:t>
      </w:r>
      <w:r w:rsidR="005D672A" w:rsidRPr="00BD6AE8">
        <w:t xml:space="preserve"> at that stag</w:t>
      </w:r>
      <w:r w:rsidR="005D672A">
        <w:t>e,</w:t>
      </w:r>
      <w:r w:rsidR="005D672A" w:rsidRPr="00BD6AE8">
        <w:t xml:space="preserve"> </w:t>
      </w:r>
      <w:r w:rsidR="005D672A">
        <w:t>the police officers</w:t>
      </w:r>
      <w:r w:rsidR="005D672A" w:rsidRPr="00BD6AE8">
        <w:t xml:space="preserve"> </w:t>
      </w:r>
      <w:r w:rsidR="00625648">
        <w:t>did not have</w:t>
      </w:r>
      <w:r w:rsidR="005D672A" w:rsidRPr="00BD6AE8">
        <w:t xml:space="preserve"> sufficient information to justify arresting </w:t>
      </w:r>
      <w:r w:rsidR="00625648">
        <w:t>the fourth applicant</w:t>
      </w:r>
      <w:r w:rsidR="005D672A" w:rsidRPr="00BD6AE8">
        <w:t>, or treat</w:t>
      </w:r>
      <w:r w:rsidR="0033385C">
        <w:t>ing</w:t>
      </w:r>
      <w:r w:rsidR="005D672A" w:rsidRPr="00BD6AE8">
        <w:t xml:space="preserve"> him as a suspect</w:t>
      </w:r>
      <w:r w:rsidR="005D672A">
        <w:t>.</w:t>
      </w:r>
      <w:r w:rsidR="00C7096C">
        <w:t xml:space="preserve"> One of the officers explained that by 7.15 p.m. he had taken the view that, as a result of the answers that the fourth applicant was giving, he was in danger of incriminating himself and should be cautioned and informed of his right to legal advice. The officers had accordingly sought instructions from one of the senior officers in charge of the investigation. They had been told that they should continue to interview the fourth applicant as a witness and had therefore done so.</w:t>
      </w:r>
      <w:r w:rsidR="005D672A">
        <w:t xml:space="preserve"> In his evidence </w:t>
      </w:r>
      <w:r w:rsidR="0021480B">
        <w:t>one of the officers</w:t>
      </w:r>
      <w:r w:rsidR="005D672A">
        <w:t xml:space="preserve"> </w:t>
      </w:r>
      <w:r w:rsidR="005D672A" w:rsidRPr="00BD6AE8">
        <w:t>expressed surprise that</w:t>
      </w:r>
      <w:r w:rsidR="005D672A">
        <w:t>,</w:t>
      </w:r>
      <w:r w:rsidR="005D672A" w:rsidRPr="00BD6AE8">
        <w:t xml:space="preserve"> when the witness statement </w:t>
      </w:r>
      <w:r w:rsidR="00642F53">
        <w:t>was</w:t>
      </w:r>
      <w:r w:rsidR="005D672A" w:rsidRPr="00BD6AE8">
        <w:t xml:space="preserve"> completed, </w:t>
      </w:r>
      <w:r w:rsidR="005D672A">
        <w:t xml:space="preserve">he </w:t>
      </w:r>
      <w:r w:rsidR="00642F53">
        <w:t>had been</w:t>
      </w:r>
      <w:r w:rsidR="005D672A" w:rsidRPr="00BD6AE8">
        <w:t xml:space="preserve"> instructed to arrest the </w:t>
      </w:r>
      <w:r w:rsidR="005D672A">
        <w:t>applicant.</w:t>
      </w:r>
    </w:p>
    <w:bookmarkStart w:id="77" w:name="fourthapplicantrulingadmittingstatement"/>
    <w:bookmarkStart w:id="78" w:name="F4thapprulingcodebreach"/>
    <w:p w:rsidR="00F27484" w:rsidRDefault="0082058A" w:rsidP="005D672A">
      <w:pPr>
        <w:pStyle w:val="JuPara"/>
      </w:pPr>
      <w:r>
        <w:rPr>
          <w:noProof/>
        </w:rPr>
        <w:fldChar w:fldCharType="begin"/>
      </w:r>
      <w:r w:rsidR="005D672A">
        <w:rPr>
          <w:noProof/>
        </w:rPr>
        <w:instrText xml:space="preserve"> SEQ level0 \*arabic </w:instrText>
      </w:r>
      <w:r>
        <w:rPr>
          <w:noProof/>
        </w:rPr>
        <w:fldChar w:fldCharType="separate"/>
      </w:r>
      <w:r w:rsidR="00517F95">
        <w:rPr>
          <w:noProof/>
        </w:rPr>
        <w:t>117</w:t>
      </w:r>
      <w:r>
        <w:rPr>
          <w:noProof/>
        </w:rPr>
        <w:fldChar w:fldCharType="end"/>
      </w:r>
      <w:bookmarkEnd w:id="77"/>
      <w:bookmarkEnd w:id="78"/>
      <w:r w:rsidR="005D672A">
        <w:rPr>
          <w:noProof/>
        </w:rPr>
        <w:t>.</w:t>
      </w:r>
      <w:r w:rsidR="00F95849">
        <w:rPr>
          <w:noProof/>
        </w:rPr>
        <w:t>  </w:t>
      </w:r>
      <w:r w:rsidR="00224799">
        <w:rPr>
          <w:noProof/>
        </w:rPr>
        <w:t>On 3 October 2007 t</w:t>
      </w:r>
      <w:r w:rsidR="0033385C">
        <w:t>he trial judge</w:t>
      </w:r>
      <w:r w:rsidR="00967BC1">
        <w:t xml:space="preserve"> </w:t>
      </w:r>
      <w:r w:rsidR="005D672A">
        <w:t xml:space="preserve">refused the </w:t>
      </w:r>
      <w:r w:rsidR="00A422BE">
        <w:t xml:space="preserve">fourth </w:t>
      </w:r>
      <w:r w:rsidR="004A3819">
        <w:t>applicant</w:t>
      </w:r>
      <w:r w:rsidR="005E7B7A">
        <w:t>’</w:t>
      </w:r>
      <w:r w:rsidR="005D672A">
        <w:t xml:space="preserve">s application to have the witness statement excluded. </w:t>
      </w:r>
      <w:r w:rsidR="007372EF">
        <w:t xml:space="preserve">He accepted that </w:t>
      </w:r>
      <w:r w:rsidR="00F27484">
        <w:t>at the time when the fourth applicant</w:t>
      </w:r>
      <w:r w:rsidR="009D2E51">
        <w:t xml:space="preserve"> had</w:t>
      </w:r>
      <w:r w:rsidR="00F27484">
        <w:t xml:space="preserve"> arrived at the police station there </w:t>
      </w:r>
      <w:r w:rsidR="009D2E51">
        <w:t>had been</w:t>
      </w:r>
      <w:r w:rsidR="00F27484">
        <w:t xml:space="preserve"> no reasonable objective grounds to suspect him of any offence and that it was entirely appropriate to treat him as a witness. However, in view of the prosecution concession that</w:t>
      </w:r>
      <w:r w:rsidR="00947B32">
        <w:t xml:space="preserve"> </w:t>
      </w:r>
      <w:r w:rsidR="00F27484">
        <w:t xml:space="preserve">reasonable objective grounds to suspect the fourth applicant of an offence could be said to have crystallised by the </w:t>
      </w:r>
      <w:r w:rsidR="00F27484">
        <w:lastRenderedPageBreak/>
        <w:t xml:space="preserve">conclusion of his first oral account, the judge was satisfied that there had been a breach of </w:t>
      </w:r>
      <w:r w:rsidR="00642F53">
        <w:t>the applicable code</w:t>
      </w:r>
      <w:r w:rsidR="00F27484">
        <w:t xml:space="preserve"> at the time when the fourth applicant had made his written witness statement</w:t>
      </w:r>
      <w:r w:rsidR="00BD70E6">
        <w:t>.</w:t>
      </w:r>
    </w:p>
    <w:bookmarkStart w:id="79" w:name="F4thapprulingnooppression"/>
    <w:p w:rsidR="008E2C6A" w:rsidRDefault="0082058A" w:rsidP="005D672A">
      <w:pPr>
        <w:pStyle w:val="JuPara"/>
      </w:pPr>
      <w:r>
        <w:fldChar w:fldCharType="begin"/>
      </w:r>
      <w:r w:rsidR="00C04CCA">
        <w:instrText xml:space="preserve"> SEQ level0 \*arabic </w:instrText>
      </w:r>
      <w:r>
        <w:fldChar w:fldCharType="separate"/>
      </w:r>
      <w:r w:rsidR="00517F95">
        <w:rPr>
          <w:noProof/>
        </w:rPr>
        <w:t>118</w:t>
      </w:r>
      <w:r>
        <w:rPr>
          <w:noProof/>
        </w:rPr>
        <w:fldChar w:fldCharType="end"/>
      </w:r>
      <w:bookmarkEnd w:id="79"/>
      <w:r w:rsidR="00947B32">
        <w:t>.  </w:t>
      </w:r>
      <w:r w:rsidR="009D2E51">
        <w:t>Th</w:t>
      </w:r>
      <w:r w:rsidR="00947B32">
        <w:t>e trial judge found as a fact that there was no evidence of oppression of the fourth applicant while he was at the police station. Nor, the judge said, was</w:t>
      </w:r>
      <w:r w:rsidR="005D672A" w:rsidRPr="00E4251E">
        <w:t xml:space="preserve"> </w:t>
      </w:r>
      <w:r w:rsidR="00947B32">
        <w:t>anything</w:t>
      </w:r>
      <w:r w:rsidR="005D672A" w:rsidRPr="00E4251E">
        <w:t xml:space="preserve"> said or done by the police officers </w:t>
      </w:r>
      <w:r w:rsidR="00A422BE">
        <w:t>that</w:t>
      </w:r>
      <w:r w:rsidR="005D672A" w:rsidRPr="00E4251E">
        <w:t xml:space="preserve"> could have rendered the witness statement unreliable. </w:t>
      </w:r>
      <w:r w:rsidR="008E2C6A">
        <w:t xml:space="preserve">He pointed out that the fourth applicant had “freely adopted” the witness statement after he had been cautioned and had received legal advice. He therefore did not accept that the statement should be excluded under either section 76 or section 78 </w:t>
      </w:r>
      <w:r w:rsidR="00642F53">
        <w:t>PACE.</w:t>
      </w:r>
    </w:p>
    <w:bookmarkStart w:id="80" w:name="F4thapprulingjury"/>
    <w:p w:rsidR="008E2C6A" w:rsidRDefault="0082058A" w:rsidP="005D672A">
      <w:pPr>
        <w:pStyle w:val="JuPara"/>
      </w:pPr>
      <w:r>
        <w:fldChar w:fldCharType="begin"/>
      </w:r>
      <w:r w:rsidR="00C04CCA">
        <w:instrText xml:space="preserve"> SEQ level0 \*arabic </w:instrText>
      </w:r>
      <w:r>
        <w:fldChar w:fldCharType="separate"/>
      </w:r>
      <w:r w:rsidR="00517F95">
        <w:rPr>
          <w:noProof/>
        </w:rPr>
        <w:t>119</w:t>
      </w:r>
      <w:r>
        <w:rPr>
          <w:noProof/>
        </w:rPr>
        <w:fldChar w:fldCharType="end"/>
      </w:r>
      <w:bookmarkEnd w:id="80"/>
      <w:r w:rsidR="008E2C6A">
        <w:t>.  Finally, the judge referred to the right of the defence to put matters concerning the fourth applicant</w:t>
      </w:r>
      <w:r w:rsidR="005E7B7A">
        <w:t>’</w:t>
      </w:r>
      <w:r w:rsidR="008E2C6A">
        <w:t>s challenge to the witness statement before the jury. The jury would be directed appropriately on the question of reliability. In the circumstances no breach of Article 6 § 3 arose.</w:t>
      </w:r>
    </w:p>
    <w:bookmarkStart w:id="81" w:name="F4thapppartialexc"/>
    <w:p w:rsidR="005D672A" w:rsidRDefault="0082058A" w:rsidP="005D672A">
      <w:pPr>
        <w:pStyle w:val="JuPara"/>
      </w:pPr>
      <w:r>
        <w:fldChar w:fldCharType="begin"/>
      </w:r>
      <w:r w:rsidR="00C04CCA">
        <w:instrText xml:space="preserve"> SEQ level0 \*arabic </w:instrText>
      </w:r>
      <w:r>
        <w:fldChar w:fldCharType="separate"/>
      </w:r>
      <w:r w:rsidR="00517F95">
        <w:rPr>
          <w:noProof/>
        </w:rPr>
        <w:t>120</w:t>
      </w:r>
      <w:r>
        <w:rPr>
          <w:noProof/>
        </w:rPr>
        <w:fldChar w:fldCharType="end"/>
      </w:r>
      <w:bookmarkEnd w:id="81"/>
      <w:r w:rsidR="008E2C6A">
        <w:t>.  The defence subsequently made an</w:t>
      </w:r>
      <w:r w:rsidR="005D672A">
        <w:t xml:space="preserve"> application to have excluded those parts of the witness statement which the</w:t>
      </w:r>
      <w:r w:rsidR="00A422BE">
        <w:t xml:space="preserve"> fourth</w:t>
      </w:r>
      <w:r w:rsidR="005D672A">
        <w:t xml:space="preserve"> applicant </w:t>
      </w:r>
      <w:r w:rsidR="00DE4C7A">
        <w:t xml:space="preserve">had </w:t>
      </w:r>
      <w:r w:rsidR="005D672A">
        <w:t>withdr</w:t>
      </w:r>
      <w:r w:rsidR="00DE4C7A">
        <w:t>a</w:t>
      </w:r>
      <w:r w:rsidR="005D672A">
        <w:t>w</w:t>
      </w:r>
      <w:r w:rsidR="00DE4C7A">
        <w:t>n</w:t>
      </w:r>
      <w:r w:rsidR="005D672A">
        <w:t xml:space="preserve"> or qualified in his subsequent interviews</w:t>
      </w:r>
      <w:r w:rsidR="008E2C6A">
        <w:t xml:space="preserve">. </w:t>
      </w:r>
      <w:r w:rsidR="009D2E51">
        <w:t xml:space="preserve">These parts concerned the physical description given of Mr Osman and statements which indicated that the fourth applicant had come to believe that Mr Osman was involved in the attacks. </w:t>
      </w:r>
      <w:r w:rsidR="008E2C6A">
        <w:t>The application was opposed by the prosecution, because the qualifications later made demonstrated the detail in which the fourth applicant had subsequently considered his witness statement.</w:t>
      </w:r>
      <w:r w:rsidR="005D672A">
        <w:t xml:space="preserve"> </w:t>
      </w:r>
      <w:r w:rsidR="008E2C6A">
        <w:t xml:space="preserve">The </w:t>
      </w:r>
      <w:r w:rsidR="00642F53">
        <w:t>application</w:t>
      </w:r>
      <w:r w:rsidR="008E2C6A">
        <w:t xml:space="preserve"> was refused, </w:t>
      </w:r>
      <w:r w:rsidR="005D672A">
        <w:t xml:space="preserve">the trial judge </w:t>
      </w:r>
      <w:r w:rsidR="008E2C6A">
        <w:t>finding</w:t>
      </w:r>
      <w:r w:rsidR="005D672A">
        <w:t xml:space="preserve"> </w:t>
      </w:r>
      <w:r w:rsidR="0033385C">
        <w:t xml:space="preserve">that </w:t>
      </w:r>
      <w:r w:rsidR="008E2C6A">
        <w:t xml:space="preserve">exclusion of </w:t>
      </w:r>
      <w:r w:rsidR="009D2E51">
        <w:t>the</w:t>
      </w:r>
      <w:r w:rsidR="008E2C6A">
        <w:t xml:space="preserve"> passages</w:t>
      </w:r>
      <w:r w:rsidR="005D672A">
        <w:t xml:space="preserve"> would be misleading to the jury.</w:t>
      </w:r>
      <w:r w:rsidR="008E2C6A">
        <w:t xml:space="preserve"> </w:t>
      </w:r>
      <w:r w:rsidR="00642F53">
        <w:t>He explained that t</w:t>
      </w:r>
      <w:r w:rsidR="008E2C6A">
        <w:t>he jury would be able to hear the full circumstances in which the fourth applicant had come to adopt the witness statement.</w:t>
      </w:r>
    </w:p>
    <w:p w:rsidR="00EF677F" w:rsidRDefault="00642F53" w:rsidP="00642F53">
      <w:pPr>
        <w:pStyle w:val="ECHRHeading4"/>
      </w:pPr>
      <w:r>
        <w:t>(c</w:t>
      </w:r>
      <w:r w:rsidR="00FA6E17">
        <w:t>)  </w:t>
      </w:r>
      <w:r w:rsidR="00EF677F">
        <w:t>The other prosecution evidence</w:t>
      </w:r>
    </w:p>
    <w:bookmarkStart w:id="82" w:name="fourthapplicanttrialotherevidence"/>
    <w:p w:rsidR="007D3945" w:rsidRDefault="0082058A" w:rsidP="005D672A">
      <w:pPr>
        <w:pStyle w:val="JuPara"/>
      </w:pPr>
      <w:r>
        <w:fldChar w:fldCharType="begin"/>
      </w:r>
      <w:r w:rsidR="007372EF">
        <w:instrText xml:space="preserve"> SEQ level0 \*arabic </w:instrText>
      </w:r>
      <w:r>
        <w:fldChar w:fldCharType="separate"/>
      </w:r>
      <w:r w:rsidR="00517F95">
        <w:rPr>
          <w:noProof/>
        </w:rPr>
        <w:t>121</w:t>
      </w:r>
      <w:r>
        <w:fldChar w:fldCharType="end"/>
      </w:r>
      <w:bookmarkEnd w:id="82"/>
      <w:r w:rsidR="007372EF">
        <w:t>.</w:t>
      </w:r>
      <w:r w:rsidR="00FA6E17">
        <w:t>  </w:t>
      </w:r>
      <w:r w:rsidR="007D3945">
        <w:t xml:space="preserve">The other prosecution evidence </w:t>
      </w:r>
      <w:r w:rsidR="00642F53">
        <w:t xml:space="preserve">led at trial </w:t>
      </w:r>
      <w:r w:rsidR="000444B3">
        <w:t>against the fourth applicant included</w:t>
      </w:r>
      <w:r w:rsidR="007D3945">
        <w:t>:</w:t>
      </w:r>
    </w:p>
    <w:p w:rsidR="007D3945" w:rsidRDefault="007D3945" w:rsidP="0021480B">
      <w:pPr>
        <w:pStyle w:val="JuPara"/>
      </w:pPr>
      <w:r>
        <w:t>(i)</w:t>
      </w:r>
      <w:r w:rsidR="00FA6E17">
        <w:t>  </w:t>
      </w:r>
      <w:r>
        <w:t xml:space="preserve">CCTV footage </w:t>
      </w:r>
      <w:r w:rsidR="00EE4614">
        <w:t xml:space="preserve">from 23 July </w:t>
      </w:r>
      <w:r>
        <w:t>show</w:t>
      </w:r>
      <w:r w:rsidR="0021480B">
        <w:t>ing the fourth applicant and Mr </w:t>
      </w:r>
      <w:r>
        <w:t>Osman together at Clapham Junction railway station, at Vauxhall railway station and walking towa</w:t>
      </w:r>
      <w:r w:rsidR="0033385C">
        <w:t>rds the fourth applicant</w:t>
      </w:r>
      <w:r w:rsidR="005E7B7A">
        <w:t>’</w:t>
      </w:r>
      <w:r w:rsidR="0033385C">
        <w:t>s flat;</w:t>
      </w:r>
    </w:p>
    <w:p w:rsidR="007D3945" w:rsidRDefault="007D3945" w:rsidP="005D672A">
      <w:pPr>
        <w:pStyle w:val="JuPara"/>
      </w:pPr>
      <w:r>
        <w:t>(ii)</w:t>
      </w:r>
      <w:r w:rsidR="00FA6E17">
        <w:t>  </w:t>
      </w:r>
      <w:r w:rsidR="0033385C">
        <w:t>m</w:t>
      </w:r>
      <w:r>
        <w:t xml:space="preserve">obile telephone cellsite analysis (analysis showing where mobile telephone calls have been made), consistent with Mr Osman </w:t>
      </w:r>
      <w:r w:rsidR="0033385C">
        <w:t>having made</w:t>
      </w:r>
      <w:r>
        <w:t xml:space="preserve"> telephone calls</w:t>
      </w:r>
      <w:r w:rsidR="0033385C">
        <w:t xml:space="preserve"> at the fourth applicant</w:t>
      </w:r>
      <w:r w:rsidR="005E7B7A">
        <w:t>’</w:t>
      </w:r>
      <w:r w:rsidR="0033385C">
        <w:t>s flat;</w:t>
      </w:r>
    </w:p>
    <w:p w:rsidR="007D3945" w:rsidRDefault="007D3945" w:rsidP="00040A57">
      <w:pPr>
        <w:pStyle w:val="JuPara"/>
      </w:pPr>
      <w:r>
        <w:t>(iii)</w:t>
      </w:r>
      <w:r w:rsidR="00FA6E17">
        <w:t>  </w:t>
      </w:r>
      <w:r>
        <w:t>CCTV footage showing the fourth applicant meeting</w:t>
      </w:r>
      <w:r w:rsidR="00B34516">
        <w:t xml:space="preserve"> one of his co</w:t>
      </w:r>
      <w:r w:rsidR="00B34516">
        <w:noBreakHyphen/>
      </w:r>
      <w:r>
        <w:t xml:space="preserve">defendants and collecting from him </w:t>
      </w:r>
      <w:r w:rsidR="00DE4C7A">
        <w:t>the</w:t>
      </w:r>
      <w:r>
        <w:t xml:space="preserve"> camera </w:t>
      </w:r>
      <w:r w:rsidR="00DE4C7A">
        <w:t>alleged</w:t>
      </w:r>
      <w:r>
        <w:t xml:space="preserve"> to have been used to film </w:t>
      </w:r>
      <w:r w:rsidR="00DA1ADF">
        <w:t xml:space="preserve">martyrdom </w:t>
      </w:r>
      <w:r>
        <w:t>videos</w:t>
      </w:r>
      <w:r w:rsidR="00040A57">
        <w:t xml:space="preserve"> made by the bombers</w:t>
      </w:r>
      <w:r w:rsidR="0033385C">
        <w:t>;</w:t>
      </w:r>
    </w:p>
    <w:p w:rsidR="00040A57" w:rsidRDefault="00FA6E17" w:rsidP="00040A57">
      <w:pPr>
        <w:pStyle w:val="JuPara"/>
      </w:pPr>
      <w:r>
        <w:t>(iv)  </w:t>
      </w:r>
      <w:r w:rsidR="0033385C">
        <w:t>c</w:t>
      </w:r>
      <w:r w:rsidR="00DA1ADF">
        <w:t xml:space="preserve">ellsite analysis consistent with the fourth applicant </w:t>
      </w:r>
      <w:r w:rsidR="0033385C">
        <w:t>having met</w:t>
      </w:r>
      <w:r w:rsidR="00DA1ADF">
        <w:t xml:space="preserve"> </w:t>
      </w:r>
      <w:r w:rsidR="009D2E51">
        <w:t>Mr </w:t>
      </w:r>
      <w:r w:rsidR="00D656A1">
        <w:t xml:space="preserve"> Sherif </w:t>
      </w:r>
      <w:r w:rsidR="00DA1ADF">
        <w:t xml:space="preserve">to collect </w:t>
      </w:r>
      <w:r w:rsidR="00D656A1">
        <w:t>the</w:t>
      </w:r>
      <w:r w:rsidR="00DA1ADF">
        <w:t xml:space="preserve"> passport for Mr Osman</w:t>
      </w:r>
      <w:r w:rsidR="0033385C">
        <w:t>;</w:t>
      </w:r>
    </w:p>
    <w:p w:rsidR="00DA1ADF" w:rsidRDefault="00DA1ADF" w:rsidP="00040A57">
      <w:pPr>
        <w:pStyle w:val="JuPara"/>
      </w:pPr>
      <w:r>
        <w:t>(v)</w:t>
      </w:r>
      <w:r w:rsidR="00FA6E17">
        <w:t>  </w:t>
      </w:r>
      <w:r w:rsidR="0033385C">
        <w:t>f</w:t>
      </w:r>
      <w:r>
        <w:t>ootage from a police surveillance camera showing Mr Osman leaving the fourth applicant</w:t>
      </w:r>
      <w:r w:rsidR="005E7B7A">
        <w:t>’</w:t>
      </w:r>
      <w:r>
        <w:t>s flat on 26 July en route to Waterloo station</w:t>
      </w:r>
      <w:r w:rsidR="0033385C">
        <w:t>;</w:t>
      </w:r>
    </w:p>
    <w:p w:rsidR="00DA1ADF" w:rsidRDefault="00DA1ADF" w:rsidP="00040A57">
      <w:pPr>
        <w:pStyle w:val="JuPara"/>
      </w:pPr>
      <w:r>
        <w:lastRenderedPageBreak/>
        <w:t>(vi)</w:t>
      </w:r>
      <w:r w:rsidR="00FA6E17">
        <w:t>  </w:t>
      </w:r>
      <w:r w:rsidR="0033385C">
        <w:t>a</w:t>
      </w:r>
      <w:r w:rsidR="00A009C4">
        <w:t xml:space="preserve"> newspaper report on the attempted bombings, with pictures of the bombers (including </w:t>
      </w:r>
      <w:r w:rsidR="00DE4C7A">
        <w:t xml:space="preserve">Mr </w:t>
      </w:r>
      <w:r w:rsidR="00A009C4">
        <w:t>Osman), found in the fourth applicant</w:t>
      </w:r>
      <w:r w:rsidR="005E7B7A">
        <w:t>’</w:t>
      </w:r>
      <w:r w:rsidR="00A009C4">
        <w:t>s flat with his fingerprints on it</w:t>
      </w:r>
      <w:r w:rsidR="0033385C">
        <w:t>;</w:t>
      </w:r>
    </w:p>
    <w:p w:rsidR="00A009C4" w:rsidRDefault="00FA6E17" w:rsidP="00040A57">
      <w:pPr>
        <w:pStyle w:val="JuPara"/>
      </w:pPr>
      <w:r>
        <w:t>(vii)  </w:t>
      </w:r>
      <w:r w:rsidR="00A009C4">
        <w:t>telephone contact between the fourth applicant and Mr Osman after the latter had t</w:t>
      </w:r>
      <w:r w:rsidR="0033385C">
        <w:t>aken the Eurostar from Wa</w:t>
      </w:r>
      <w:r w:rsidR="00434B1E">
        <w:t>terloo, indicating that Mr</w:t>
      </w:r>
      <w:r w:rsidR="00BD70E6">
        <w:t xml:space="preserve"> </w:t>
      </w:r>
      <w:r w:rsidR="00434B1E" w:rsidRPr="009865D2">
        <w:t>Osman</w:t>
      </w:r>
      <w:r w:rsidR="00434B1E">
        <w:t xml:space="preserve"> had </w:t>
      </w:r>
      <w:r w:rsidR="00434B1E" w:rsidRPr="009865D2">
        <w:t>spoke</w:t>
      </w:r>
      <w:r w:rsidR="00434B1E">
        <w:t>n</w:t>
      </w:r>
      <w:r w:rsidR="00434B1E" w:rsidRPr="009865D2">
        <w:t xml:space="preserve"> to </w:t>
      </w:r>
      <w:r w:rsidR="00434B1E">
        <w:t>the fourth applicant twice by mobile telephone on 26 July and had twice attempted to telephone him on 27 July from Italy;</w:t>
      </w:r>
    </w:p>
    <w:p w:rsidR="00B61C28" w:rsidRPr="00040A57" w:rsidRDefault="00B61C28" w:rsidP="00040A57">
      <w:pPr>
        <w:pStyle w:val="JuPara"/>
      </w:pPr>
      <w:r>
        <w:t>(viii)</w:t>
      </w:r>
      <w:r w:rsidR="00FA6E17">
        <w:t>  </w:t>
      </w:r>
      <w:r>
        <w:t>The fourth applicant</w:t>
      </w:r>
      <w:r w:rsidR="005E7B7A">
        <w:t>’</w:t>
      </w:r>
      <w:r>
        <w:t xml:space="preserve">s </w:t>
      </w:r>
      <w:r w:rsidR="00BF253F">
        <w:t xml:space="preserve">police </w:t>
      </w:r>
      <w:r>
        <w:t>interviews</w:t>
      </w:r>
      <w:r w:rsidR="00BF253F">
        <w:t xml:space="preserve"> of 30 July and 1 August</w:t>
      </w:r>
      <w:r w:rsidR="00143A86">
        <w:t xml:space="preserve"> in which he admitted that Mr Osman had stayed at his flat and stated that the contents of his 28 July witness statement were accurate (see paragraph</w:t>
      </w:r>
      <w:r w:rsidR="009D2E51">
        <w:t>s</w:t>
      </w:r>
      <w:r w:rsidR="00B34516">
        <w:t> </w:t>
      </w:r>
      <w:r w:rsidR="0082058A">
        <w:fldChar w:fldCharType="begin"/>
      </w:r>
      <w:r w:rsidR="009D2E51">
        <w:instrText xml:space="preserve"> REF AbduWS30jul \h </w:instrText>
      </w:r>
      <w:r w:rsidR="0082058A">
        <w:fldChar w:fldCharType="separate"/>
      </w:r>
      <w:r w:rsidR="00517F95">
        <w:rPr>
          <w:noProof/>
        </w:rPr>
        <w:t>111</w:t>
      </w:r>
      <w:r w:rsidR="0082058A">
        <w:fldChar w:fldCharType="end"/>
      </w:r>
      <w:r w:rsidR="009D2E51">
        <w:t>-</w:t>
      </w:r>
      <w:r w:rsidR="0082058A">
        <w:fldChar w:fldCharType="begin"/>
      </w:r>
      <w:r w:rsidR="009D2E51">
        <w:instrText xml:space="preserve"> REF AbduWSAug \h </w:instrText>
      </w:r>
      <w:r w:rsidR="0082058A">
        <w:fldChar w:fldCharType="separate"/>
      </w:r>
      <w:r w:rsidR="00517F95">
        <w:rPr>
          <w:noProof/>
        </w:rPr>
        <w:t>112</w:t>
      </w:r>
      <w:r w:rsidR="0082058A">
        <w:fldChar w:fldCharType="end"/>
      </w:r>
      <w:r w:rsidR="009D2E51">
        <w:t xml:space="preserve"> </w:t>
      </w:r>
      <w:r w:rsidR="00143A86">
        <w:t>above)</w:t>
      </w:r>
      <w:r w:rsidR="0033385C">
        <w:t>.</w:t>
      </w:r>
    </w:p>
    <w:p w:rsidR="00EF677F" w:rsidRDefault="00EF677F" w:rsidP="00642F53">
      <w:pPr>
        <w:pStyle w:val="ECHRHeading4"/>
        <w:rPr>
          <w:noProof/>
        </w:rPr>
      </w:pPr>
      <w:r>
        <w:rPr>
          <w:noProof/>
        </w:rPr>
        <w:t>(</w:t>
      </w:r>
      <w:r w:rsidR="00642F53">
        <w:rPr>
          <w:noProof/>
        </w:rPr>
        <w:t>d</w:t>
      </w:r>
      <w:r w:rsidR="00FA6E17">
        <w:rPr>
          <w:noProof/>
        </w:rPr>
        <w:t>)  </w:t>
      </w:r>
      <w:r>
        <w:rPr>
          <w:noProof/>
        </w:rPr>
        <w:t>The application for a stay on grounds of abuse of process</w:t>
      </w:r>
    </w:p>
    <w:bookmarkStart w:id="83" w:name="F4thappabuseofprocessapp"/>
    <w:p w:rsidR="00705B89" w:rsidRDefault="0082058A" w:rsidP="00967BC1">
      <w:pPr>
        <w:pStyle w:val="JuPara"/>
      </w:pPr>
      <w:r>
        <w:rPr>
          <w:noProof/>
        </w:rPr>
        <w:fldChar w:fldCharType="begin"/>
      </w:r>
      <w:r w:rsidR="005D672A">
        <w:rPr>
          <w:noProof/>
        </w:rPr>
        <w:instrText xml:space="preserve"> SEQ level0 \*arabic </w:instrText>
      </w:r>
      <w:r>
        <w:rPr>
          <w:noProof/>
        </w:rPr>
        <w:fldChar w:fldCharType="separate"/>
      </w:r>
      <w:r w:rsidR="00517F95">
        <w:rPr>
          <w:noProof/>
        </w:rPr>
        <w:t>122</w:t>
      </w:r>
      <w:r>
        <w:rPr>
          <w:noProof/>
        </w:rPr>
        <w:fldChar w:fldCharType="end"/>
      </w:r>
      <w:bookmarkEnd w:id="83"/>
      <w:r w:rsidR="005D672A">
        <w:rPr>
          <w:noProof/>
        </w:rPr>
        <w:t>.</w:t>
      </w:r>
      <w:r w:rsidR="00FA6E17">
        <w:rPr>
          <w:noProof/>
        </w:rPr>
        <w:t>  </w:t>
      </w:r>
      <w:r w:rsidR="00642F53">
        <w:t>At the conclusion of the prosecution case, t</w:t>
      </w:r>
      <w:r w:rsidR="005D672A">
        <w:t>he</w:t>
      </w:r>
      <w:r w:rsidR="00A422BE">
        <w:t xml:space="preserve"> fourth </w:t>
      </w:r>
      <w:r w:rsidR="005D672A">
        <w:t xml:space="preserve">applicant made an application to have the proceedings stayed on the grounds that the prosecution was an abuse of process. </w:t>
      </w:r>
      <w:r w:rsidR="0033385C">
        <w:t>He</w:t>
      </w:r>
      <w:r w:rsidR="005D672A">
        <w:t xml:space="preserve"> argued that the order given to </w:t>
      </w:r>
      <w:r w:rsidR="0021480B">
        <w:t>the police officers</w:t>
      </w:r>
      <w:r w:rsidR="005D672A">
        <w:t xml:space="preserve"> to continue to treat him as a witness</w:t>
      </w:r>
      <w:r w:rsidR="0033385C">
        <w:t>,</w:t>
      </w:r>
      <w:r w:rsidR="005D672A">
        <w:t xml:space="preserve"> and not a suspect</w:t>
      </w:r>
      <w:r w:rsidR="0033385C">
        <w:t>,</w:t>
      </w:r>
      <w:r w:rsidR="005D672A">
        <w:t xml:space="preserve"> meant he had been tricked into giving his witness statement</w:t>
      </w:r>
      <w:r w:rsidR="007372EF">
        <w:t>. He had effectively been told that he would not be prosecuted.</w:t>
      </w:r>
      <w:r w:rsidR="00BB1775">
        <w:t xml:space="preserve"> </w:t>
      </w:r>
      <w:r w:rsidR="007372EF">
        <w:t xml:space="preserve">In other words, </w:t>
      </w:r>
      <w:r w:rsidR="005D672A">
        <w:t xml:space="preserve">later </w:t>
      </w:r>
      <w:r w:rsidR="007372EF">
        <w:t xml:space="preserve">treating him as </w:t>
      </w:r>
      <w:r w:rsidR="0033385C">
        <w:t xml:space="preserve">a </w:t>
      </w:r>
      <w:r w:rsidR="007372EF">
        <w:t xml:space="preserve">suspect and prosecuting him </w:t>
      </w:r>
      <w:r w:rsidR="00BD70E6">
        <w:t>was inherently unfair.</w:t>
      </w:r>
    </w:p>
    <w:bookmarkStart w:id="84" w:name="Abdutrialabuseofprocessruling"/>
    <w:p w:rsidR="005D672A" w:rsidRDefault="0082058A" w:rsidP="00967BC1">
      <w:pPr>
        <w:pStyle w:val="JuPara"/>
      </w:pPr>
      <w:r>
        <w:fldChar w:fldCharType="begin"/>
      </w:r>
      <w:r w:rsidR="00C04CCA">
        <w:instrText xml:space="preserve"> SEQ level0 \*arabic </w:instrText>
      </w:r>
      <w:r>
        <w:fldChar w:fldCharType="separate"/>
      </w:r>
      <w:r w:rsidR="00517F95">
        <w:rPr>
          <w:noProof/>
        </w:rPr>
        <w:t>123</w:t>
      </w:r>
      <w:r>
        <w:rPr>
          <w:noProof/>
        </w:rPr>
        <w:fldChar w:fldCharType="end"/>
      </w:r>
      <w:bookmarkEnd w:id="84"/>
      <w:r w:rsidR="00705B89">
        <w:t>.  </w:t>
      </w:r>
      <w:r w:rsidR="008E2C6A">
        <w:t>On</w:t>
      </w:r>
      <w:r w:rsidR="004B760A">
        <w:t xml:space="preserve"> </w:t>
      </w:r>
      <w:r w:rsidR="008E2C6A">
        <w:t>5 November 2007 th</w:t>
      </w:r>
      <w:r w:rsidR="00705B89">
        <w:t>e judge</w:t>
      </w:r>
      <w:r w:rsidR="00967BC1">
        <w:t xml:space="preserve"> </w:t>
      </w:r>
      <w:r w:rsidR="00705B89">
        <w:t>refused</w:t>
      </w:r>
      <w:r w:rsidR="005D672A">
        <w:t xml:space="preserve"> </w:t>
      </w:r>
      <w:r w:rsidR="00705B89">
        <w:t>the application</w:t>
      </w:r>
      <w:r w:rsidR="005D672A">
        <w:t xml:space="preserve">. </w:t>
      </w:r>
      <w:r w:rsidR="00705B89">
        <w:t>He held that i</w:t>
      </w:r>
      <w:r w:rsidR="005D672A">
        <w:t xml:space="preserve">t would only be an abuse of process to prosecute someone who had received an unequivocal representation that </w:t>
      </w:r>
      <w:r w:rsidR="00E701E6">
        <w:t>he would not be prosecuted and</w:t>
      </w:r>
      <w:r w:rsidR="005D672A">
        <w:t xml:space="preserve"> had acted on that representation to his detriment. No such unequivocal representation had been made to the</w:t>
      </w:r>
      <w:r w:rsidR="00A422BE">
        <w:t xml:space="preserve"> fourth</w:t>
      </w:r>
      <w:r w:rsidR="005D672A">
        <w:t xml:space="preserve"> applicant. Even if </w:t>
      </w:r>
      <w:r w:rsidR="00705B89">
        <w:t xml:space="preserve">he had </w:t>
      </w:r>
      <w:r w:rsidR="005D672A">
        <w:t xml:space="preserve">thought </w:t>
      </w:r>
      <w:r w:rsidR="00705B89">
        <w:t xml:space="preserve">that </w:t>
      </w:r>
      <w:r w:rsidR="005D672A">
        <w:t>there had been such a representation, he had not acted on it to his detriment. The evidence</w:t>
      </w:r>
      <w:r w:rsidR="00705B89">
        <w:t xml:space="preserve"> had to be looked at as a whole:</w:t>
      </w:r>
      <w:r w:rsidR="005D672A">
        <w:t xml:space="preserve"> once cautioned and provided with legal advice the </w:t>
      </w:r>
      <w:r w:rsidR="00A422BE">
        <w:t xml:space="preserve">fourth </w:t>
      </w:r>
      <w:r w:rsidR="005D672A">
        <w:t xml:space="preserve">applicant had </w:t>
      </w:r>
      <w:r w:rsidR="00705B89">
        <w:t xml:space="preserve">had </w:t>
      </w:r>
      <w:r w:rsidR="005D672A">
        <w:t>the opportunity to say that the witness statement was untrue, inaccurate or given at a time when he was so tired that it was unreliable.</w:t>
      </w:r>
      <w:r w:rsidR="00712F57">
        <w:t xml:space="preserve"> However, he </w:t>
      </w:r>
      <w:r w:rsidR="00642F53">
        <w:t xml:space="preserve">had </w:t>
      </w:r>
      <w:r w:rsidR="00712F57">
        <w:t>chose</w:t>
      </w:r>
      <w:r w:rsidR="00642F53">
        <w:t>n</w:t>
      </w:r>
      <w:r w:rsidR="00712F57">
        <w:t xml:space="preserve"> not to do so.</w:t>
      </w:r>
      <w:r w:rsidR="005D672A">
        <w:t xml:space="preserve"> Instead, throughout the proceedings he had </w:t>
      </w:r>
      <w:r w:rsidR="00712F57">
        <w:t>adopted that witness statement; indeed, “to this day” he had effectively adopted what he had previously told the police. He had given his detailed comments on the statement when he was a suspect. The judge found that far from being an affront to justice for the case to continue, it would be an affront to justic</w:t>
      </w:r>
      <w:r w:rsidR="00BD70E6">
        <w:t>e for the case not to continue.</w:t>
      </w:r>
    </w:p>
    <w:p w:rsidR="00EF677F" w:rsidRDefault="00EF677F" w:rsidP="00642F53">
      <w:pPr>
        <w:pStyle w:val="ECHRHeading4"/>
      </w:pPr>
      <w:r>
        <w:t>(</w:t>
      </w:r>
      <w:r w:rsidR="00642F53">
        <w:t>e</w:t>
      </w:r>
      <w:r>
        <w:t>)</w:t>
      </w:r>
      <w:r w:rsidR="00FA6E17">
        <w:t>  </w:t>
      </w:r>
      <w:r>
        <w:t>The trial proceedings and verdict</w:t>
      </w:r>
    </w:p>
    <w:p w:rsidR="00180807" w:rsidRDefault="0082058A" w:rsidP="005D672A">
      <w:pPr>
        <w:pStyle w:val="JuPara"/>
      </w:pPr>
      <w:r>
        <w:rPr>
          <w:noProof/>
        </w:rPr>
        <w:fldChar w:fldCharType="begin"/>
      </w:r>
      <w:r w:rsidR="005D672A">
        <w:rPr>
          <w:noProof/>
        </w:rPr>
        <w:instrText xml:space="preserve"> SEQ level0 \*arabic </w:instrText>
      </w:r>
      <w:r>
        <w:rPr>
          <w:noProof/>
        </w:rPr>
        <w:fldChar w:fldCharType="separate"/>
      </w:r>
      <w:r w:rsidR="00517F95">
        <w:rPr>
          <w:noProof/>
        </w:rPr>
        <w:t>124</w:t>
      </w:r>
      <w:r>
        <w:rPr>
          <w:noProof/>
        </w:rPr>
        <w:fldChar w:fldCharType="end"/>
      </w:r>
      <w:r w:rsidR="005D672A">
        <w:rPr>
          <w:noProof/>
        </w:rPr>
        <w:t>.</w:t>
      </w:r>
      <w:r w:rsidR="00FA6E17">
        <w:rPr>
          <w:noProof/>
        </w:rPr>
        <w:t>  </w:t>
      </w:r>
      <w:r w:rsidR="005D672A">
        <w:t xml:space="preserve">The </w:t>
      </w:r>
      <w:r w:rsidR="003D421D">
        <w:t xml:space="preserve">fourth </w:t>
      </w:r>
      <w:r w:rsidR="005D672A">
        <w:t xml:space="preserve">applicant did not give evidence at trial. </w:t>
      </w:r>
      <w:r w:rsidR="00180807">
        <w:t xml:space="preserve">His defence was based upon the witness statement of </w:t>
      </w:r>
      <w:r w:rsidR="00023A06">
        <w:t>28 </w:t>
      </w:r>
      <w:r w:rsidR="00BD70E6">
        <w:t>July 2005.</w:t>
      </w:r>
    </w:p>
    <w:bookmarkStart w:id="85" w:name="AbdutrialSherifandOsmanev"/>
    <w:p w:rsidR="00554DA0" w:rsidRDefault="0082058A" w:rsidP="005D672A">
      <w:pPr>
        <w:pStyle w:val="JuPara"/>
      </w:pPr>
      <w:r>
        <w:fldChar w:fldCharType="begin"/>
      </w:r>
      <w:r w:rsidR="00C04CCA">
        <w:instrText xml:space="preserve"> SEQ level0 \*arabic </w:instrText>
      </w:r>
      <w:r>
        <w:fldChar w:fldCharType="separate"/>
      </w:r>
      <w:r w:rsidR="00517F95">
        <w:rPr>
          <w:noProof/>
        </w:rPr>
        <w:t>125</w:t>
      </w:r>
      <w:r>
        <w:rPr>
          <w:noProof/>
        </w:rPr>
        <w:fldChar w:fldCharType="end"/>
      </w:r>
      <w:bookmarkEnd w:id="85"/>
      <w:r w:rsidR="00180807">
        <w:t>.  </w:t>
      </w:r>
      <w:r w:rsidR="00065E57">
        <w:t xml:space="preserve">Mr </w:t>
      </w:r>
      <w:r w:rsidR="005D672A">
        <w:t xml:space="preserve">Osman was called to give evidence by </w:t>
      </w:r>
      <w:r w:rsidR="00023A06">
        <w:t>Mr</w:t>
      </w:r>
      <w:r w:rsidR="00B34516">
        <w:t xml:space="preserve"> Sherif. During cross</w:t>
      </w:r>
      <w:r w:rsidR="00B34516">
        <w:noBreakHyphen/>
      </w:r>
      <w:r w:rsidR="005D672A">
        <w:t xml:space="preserve">examination </w:t>
      </w:r>
      <w:r w:rsidR="006548C0">
        <w:t>Mr</w:t>
      </w:r>
      <w:r w:rsidR="00BD70E6">
        <w:t xml:space="preserve"> </w:t>
      </w:r>
      <w:r w:rsidR="005D672A">
        <w:t xml:space="preserve">Osman confirmed the account given by the </w:t>
      </w:r>
      <w:r w:rsidR="004A3819">
        <w:t xml:space="preserve">fourth </w:t>
      </w:r>
      <w:r w:rsidR="005D672A">
        <w:t>applicant in his witness statement</w:t>
      </w:r>
      <w:r w:rsidR="00143A86">
        <w:t>, notably that he had sheltered at the fourth applicant</w:t>
      </w:r>
      <w:r w:rsidR="005E7B7A">
        <w:t>’</w:t>
      </w:r>
      <w:r w:rsidR="00143A86">
        <w:t>s flat</w:t>
      </w:r>
      <w:r w:rsidR="005D672A">
        <w:t xml:space="preserve">. </w:t>
      </w:r>
      <w:r w:rsidR="00180807">
        <w:t xml:space="preserve">Mr Sherif confirmed that he had provided the passport for </w:t>
      </w:r>
      <w:r w:rsidR="00180807">
        <w:lastRenderedPageBreak/>
        <w:t>Mr Osman</w:t>
      </w:r>
      <w:r w:rsidR="005E7B7A">
        <w:t>’</w:t>
      </w:r>
      <w:r w:rsidR="00180807">
        <w:t>s travel. He accepted that from phone calls with Mr Osman and from what he had been told by the fourth applicant, he knew that the police were looking for Mr Osman.</w:t>
      </w:r>
    </w:p>
    <w:bookmarkStart w:id="86" w:name="fourthapplicantstrialend"/>
    <w:p w:rsidR="005D672A" w:rsidRDefault="0082058A" w:rsidP="005D672A">
      <w:pPr>
        <w:pStyle w:val="JuPara"/>
      </w:pPr>
      <w:r>
        <w:fldChar w:fldCharType="begin"/>
      </w:r>
      <w:r w:rsidR="00554DA0">
        <w:instrText xml:space="preserve"> SEQ level0 \*arabic </w:instrText>
      </w:r>
      <w:r>
        <w:fldChar w:fldCharType="separate"/>
      </w:r>
      <w:r w:rsidR="00517F95">
        <w:rPr>
          <w:noProof/>
        </w:rPr>
        <w:t>126</w:t>
      </w:r>
      <w:r>
        <w:fldChar w:fldCharType="end"/>
      </w:r>
      <w:bookmarkEnd w:id="86"/>
      <w:r w:rsidR="00554DA0">
        <w:t>.  </w:t>
      </w:r>
      <w:r w:rsidR="005D672A">
        <w:t xml:space="preserve">On 21 February 2008, the </w:t>
      </w:r>
      <w:r w:rsidR="00A422BE">
        <w:t xml:space="preserve">fourth </w:t>
      </w:r>
      <w:r w:rsidR="005D672A">
        <w:t>applicant was convicted and sentenced to a total of ten years</w:t>
      </w:r>
      <w:r w:rsidR="005E7B7A">
        <w:t>’</w:t>
      </w:r>
      <w:r w:rsidR="005D672A">
        <w:t xml:space="preserve"> imprisonment. Four of the </w:t>
      </w:r>
      <w:r w:rsidR="00A422BE">
        <w:t xml:space="preserve">fourth </w:t>
      </w:r>
      <w:r w:rsidR="005D672A">
        <w:t>applicant</w:t>
      </w:r>
      <w:r w:rsidR="005E7B7A">
        <w:t>’</w:t>
      </w:r>
      <w:r w:rsidR="005D672A">
        <w:t xml:space="preserve">s co-accused, including </w:t>
      </w:r>
      <w:r w:rsidR="00023A06">
        <w:t>Mr</w:t>
      </w:r>
      <w:r w:rsidR="005D672A">
        <w:t xml:space="preserve"> Sherif, were also convicted.</w:t>
      </w:r>
    </w:p>
    <w:p w:rsidR="003D421D" w:rsidRDefault="00642F53" w:rsidP="00642F53">
      <w:pPr>
        <w:pStyle w:val="ECHRHeading3"/>
        <w:rPr>
          <w:noProof/>
        </w:rPr>
      </w:pPr>
      <w:r>
        <w:rPr>
          <w:noProof/>
        </w:rPr>
        <w:t>4.</w:t>
      </w:r>
      <w:r w:rsidR="003D421D">
        <w:rPr>
          <w:noProof/>
        </w:rPr>
        <w:t xml:space="preserve"> The </w:t>
      </w:r>
      <w:r w:rsidR="00CD63F8">
        <w:rPr>
          <w:noProof/>
        </w:rPr>
        <w:t>fourth applicant</w:t>
      </w:r>
      <w:r w:rsidR="005E7B7A">
        <w:rPr>
          <w:noProof/>
        </w:rPr>
        <w:t>’</w:t>
      </w:r>
      <w:r w:rsidR="00CD63F8">
        <w:rPr>
          <w:noProof/>
        </w:rPr>
        <w:t xml:space="preserve">s </w:t>
      </w:r>
      <w:r w:rsidR="003D421D">
        <w:rPr>
          <w:noProof/>
        </w:rPr>
        <w:t>appeal</w:t>
      </w:r>
    </w:p>
    <w:bookmarkStart w:id="87" w:name="CourtofAppealfourthapplicanttroubling"/>
    <w:p w:rsidR="004B760A" w:rsidRDefault="0082058A" w:rsidP="005D672A">
      <w:pPr>
        <w:pStyle w:val="JuPara"/>
      </w:pPr>
      <w:r>
        <w:rPr>
          <w:noProof/>
        </w:rPr>
        <w:fldChar w:fldCharType="begin"/>
      </w:r>
      <w:r w:rsidR="005D672A">
        <w:rPr>
          <w:noProof/>
        </w:rPr>
        <w:instrText xml:space="preserve"> SEQ level0 \*arabic </w:instrText>
      </w:r>
      <w:r>
        <w:rPr>
          <w:noProof/>
        </w:rPr>
        <w:fldChar w:fldCharType="separate"/>
      </w:r>
      <w:r w:rsidR="00517F95">
        <w:rPr>
          <w:noProof/>
        </w:rPr>
        <w:t>127</w:t>
      </w:r>
      <w:r>
        <w:rPr>
          <w:noProof/>
        </w:rPr>
        <w:fldChar w:fldCharType="end"/>
      </w:r>
      <w:bookmarkEnd w:id="87"/>
      <w:r w:rsidR="005D672A">
        <w:rPr>
          <w:noProof/>
        </w:rPr>
        <w:t>.</w:t>
      </w:r>
      <w:r w:rsidR="00FA6E17">
        <w:rPr>
          <w:noProof/>
        </w:rPr>
        <w:t>  </w:t>
      </w:r>
      <w:r w:rsidR="005D672A">
        <w:t>The</w:t>
      </w:r>
      <w:r w:rsidR="003D421D">
        <w:t xml:space="preserve"> fourth </w:t>
      </w:r>
      <w:r w:rsidR="005D672A">
        <w:t xml:space="preserve">applicant </w:t>
      </w:r>
      <w:r w:rsidR="00642F53">
        <w:t xml:space="preserve">and a number of his co-defendants </w:t>
      </w:r>
      <w:r w:rsidR="005D672A">
        <w:t xml:space="preserve">appealed against conviction and sentence to the Court of Appeal. </w:t>
      </w:r>
      <w:r w:rsidR="00642F53">
        <w:t>The fourth applicant</w:t>
      </w:r>
      <w:r w:rsidR="004B760A">
        <w:t xml:space="preserve"> argued that the trial judge </w:t>
      </w:r>
      <w:r w:rsidR="00642F53">
        <w:t>had been</w:t>
      </w:r>
      <w:r w:rsidR="004B760A">
        <w:t xml:space="preserve"> wrong to admit the witness statement.</w:t>
      </w:r>
    </w:p>
    <w:bookmarkStart w:id="88" w:name="AbduCoAreliable"/>
    <w:p w:rsidR="005D672A" w:rsidRDefault="0082058A" w:rsidP="0037066D">
      <w:pPr>
        <w:pStyle w:val="JuPara"/>
      </w:pPr>
      <w:r>
        <w:fldChar w:fldCharType="begin"/>
      </w:r>
      <w:r w:rsidR="00C04CCA">
        <w:instrText xml:space="preserve"> SEQ level0 \*arabic </w:instrText>
      </w:r>
      <w:r>
        <w:fldChar w:fldCharType="separate"/>
      </w:r>
      <w:r w:rsidR="00517F95">
        <w:rPr>
          <w:noProof/>
        </w:rPr>
        <w:t>128</w:t>
      </w:r>
      <w:r>
        <w:rPr>
          <w:noProof/>
        </w:rPr>
        <w:fldChar w:fldCharType="end"/>
      </w:r>
      <w:bookmarkEnd w:id="88"/>
      <w:r w:rsidR="004B760A">
        <w:t>.  </w:t>
      </w:r>
      <w:r w:rsidR="005D672A">
        <w:t>On 21 November 2008 the Court of Appeal dismissed the appeal against conviction</w:t>
      </w:r>
      <w:r w:rsidR="00AC203B">
        <w:t>. It expressed some concern about events at the police station but considered that the trial judge had not erred in admitting</w:t>
      </w:r>
      <w:r w:rsidR="0037066D">
        <w:t xml:space="preserve"> the impugned witness statement. Concerning the fact that the statement had been made in breach of the applicable code, the court said:</w:t>
      </w:r>
    </w:p>
    <w:p w:rsidR="005D672A" w:rsidRDefault="005D672A" w:rsidP="005D672A">
      <w:pPr>
        <w:pStyle w:val="ECHRParaQuote"/>
      </w:pPr>
      <w:r>
        <w:t>“</w:t>
      </w:r>
      <w:r w:rsidR="00FA6E17">
        <w:t>38.  </w:t>
      </w:r>
      <w:r>
        <w:t xml:space="preserve">The way the police behaved is undoubtedly troubling. The decision not to arrest and caution [the </w:t>
      </w:r>
      <w:r w:rsidR="00A422BE">
        <w:t xml:space="preserve">fourth </w:t>
      </w:r>
      <w:r>
        <w:t xml:space="preserve">applicant] when the officers interviewing him believed that they had material which gave them reasonable grounds for suspecting that he had committed an offence was a clear and deliberate instruction to ignore the Code. But at that stage the police dilemma is understandable. [The </w:t>
      </w:r>
      <w:r w:rsidR="00A422BE">
        <w:t xml:space="preserve">fourth </w:t>
      </w:r>
      <w:r>
        <w:t>applicant] was providing information about Osman which could have been of critical importance in securing his arrest, which was the priority at that time. It seems to us that the judge was entitled to come to the conclusion that the prosecution had established that nothing was said or done which could undermine the reliability of the witness statement. He was entitled to take into account the fact that in the prepared statement he made after caution he asserted that he was seeking to give assistance to the police. That was repeated in the later interviews. He said nothing therefore to suggest that the circumstances were such as to render it likely that what he said was not reliable. It seems to us, therefore, that the judge was also entitled to conclude from all material that [the</w:t>
      </w:r>
      <w:r w:rsidR="00A422BE">
        <w:t xml:space="preserve"> fourth</w:t>
      </w:r>
      <w:r>
        <w:t xml:space="preserve"> applicant] with the help of legal advice, was repeating, subject as we have said to some corrections, what was in the witness statement as his account of the part such as it was, that he played in relation to Osman in the days after 21st July. Further</w:t>
      </w:r>
      <w:r w:rsidR="00DE4C7A">
        <w:t>,</w:t>
      </w:r>
      <w:r>
        <w:t xml:space="preserve"> given the </w:t>
      </w:r>
      <w:r w:rsidR="00DE4C7A">
        <w:t>[fourth applicant</w:t>
      </w:r>
      <w:r w:rsidR="005E7B7A">
        <w:t>’</w:t>
      </w:r>
      <w:r w:rsidR="00DE4C7A">
        <w:t>s]</w:t>
      </w:r>
      <w:r>
        <w:t xml:space="preserve"> adoption of that witness statement, we</w:t>
      </w:r>
      <w:r w:rsidR="00FE6B5B">
        <w:t xml:space="preserve"> do not consider that the judge</w:t>
      </w:r>
      <w:r w:rsidR="005E7B7A">
        <w:t>’</w:t>
      </w:r>
      <w:r>
        <w:t>s decision to permit the statement to go before the jury in the exercise of his discretion under s. 78 of the Act can be said to be perverse or affected by any error of law.</w:t>
      </w:r>
      <w:r w:rsidR="0037066D">
        <w:t>”</w:t>
      </w:r>
    </w:p>
    <w:bookmarkStart w:id="89" w:name="AbduCoAabuse"/>
    <w:p w:rsidR="0037066D" w:rsidRDefault="0082058A" w:rsidP="00064F61">
      <w:pPr>
        <w:pStyle w:val="JuParaLast"/>
      </w:pPr>
      <w:r>
        <w:fldChar w:fldCharType="begin"/>
      </w:r>
      <w:r w:rsidR="00C04CCA">
        <w:instrText xml:space="preserve"> SEQ level0 \*arabic </w:instrText>
      </w:r>
      <w:r>
        <w:fldChar w:fldCharType="separate"/>
      </w:r>
      <w:r w:rsidR="00517F95">
        <w:rPr>
          <w:noProof/>
        </w:rPr>
        <w:t>129</w:t>
      </w:r>
      <w:r>
        <w:rPr>
          <w:noProof/>
        </w:rPr>
        <w:fldChar w:fldCharType="end"/>
      </w:r>
      <w:bookmarkEnd w:id="89"/>
      <w:r w:rsidR="0037066D">
        <w:t>.  As to the refusal of the trial judge to stay the trial on grounds of abuse of process, the Court of Appeal explained:</w:t>
      </w:r>
    </w:p>
    <w:p w:rsidR="005D672A" w:rsidRDefault="0037066D" w:rsidP="005D672A">
      <w:pPr>
        <w:pStyle w:val="ECHRParaQuote"/>
      </w:pPr>
      <w:r>
        <w:t>“</w:t>
      </w:r>
      <w:r w:rsidR="00AC203B">
        <w:t>39.</w:t>
      </w:r>
      <w:r w:rsidR="00FA6E17">
        <w:t>  </w:t>
      </w:r>
      <w:r w:rsidR="00C91245">
        <w:t>...</w:t>
      </w:r>
      <w:r w:rsidR="005D672A">
        <w:t xml:space="preserve"> The main thrust of the argument on [the </w:t>
      </w:r>
      <w:r w:rsidR="00A422BE">
        <w:t xml:space="preserve">fourth </w:t>
      </w:r>
      <w:r w:rsidR="00AC203B">
        <w:t>applicant</w:t>
      </w:r>
      <w:r w:rsidR="005E7B7A">
        <w:t>’</w:t>
      </w:r>
      <w:r w:rsidR="005D672A">
        <w:t xml:space="preserve">s] behalf is that to prosecute on the basis of a statement that he gave when being treated as a witness is quite simply unfair. He was, it is said, effectively being told that he would not be prosecuted and gave assistance accordingly. The judge in our view rightly rejected this argument. There was no evidence that </w:t>
      </w:r>
      <w:r w:rsidR="00DE4C7A">
        <w:t>[the fourth applicant]</w:t>
      </w:r>
      <w:r w:rsidR="005D672A">
        <w:t xml:space="preserve"> made his statement because he believed he was not going to be prosecuted. He gave no evidence to that effect; and there is nothing in the interviews after he was arrested to suggest that that was the reason for his having made the witness statement. On the contrary, he made </w:t>
      </w:r>
      <w:r w:rsidR="005D672A">
        <w:lastRenderedPageBreak/>
        <w:t xml:space="preserve">the witness statement because he wanted to assist the police. In this type of case, the court is only likely to conclude there has been an abuse of process if a defendant can establish that there has been an unequivocal representation by those responsible for the conduct of the prosecution and that the defendant has acted to his detriment: see </w:t>
      </w:r>
      <w:r w:rsidR="005D672A">
        <w:rPr>
          <w:i/>
        </w:rPr>
        <w:t>R </w:t>
      </w:r>
      <w:r w:rsidR="005D672A" w:rsidRPr="00E04EEB">
        <w:rPr>
          <w:i/>
        </w:rPr>
        <w:t>v Abu Hamza</w:t>
      </w:r>
      <w:r w:rsidR="005D672A">
        <w:t xml:space="preserve"> [2007] 1 Cr App R 27, [2006] EWCA Crim 2918, in particular at paragraph 54. That was not the situation here.”</w:t>
      </w:r>
    </w:p>
    <w:bookmarkStart w:id="90" w:name="Abduappeal1"/>
    <w:p w:rsidR="0037066D" w:rsidRDefault="0082058A" w:rsidP="005D672A">
      <w:pPr>
        <w:pStyle w:val="JuPara"/>
      </w:pPr>
      <w:r>
        <w:rPr>
          <w:noProof/>
        </w:rPr>
        <w:fldChar w:fldCharType="begin"/>
      </w:r>
      <w:r w:rsidR="005D672A">
        <w:rPr>
          <w:noProof/>
        </w:rPr>
        <w:instrText xml:space="preserve"> SEQ level0 \*arabic </w:instrText>
      </w:r>
      <w:r>
        <w:rPr>
          <w:noProof/>
        </w:rPr>
        <w:fldChar w:fldCharType="separate"/>
      </w:r>
      <w:r w:rsidR="00517F95">
        <w:rPr>
          <w:noProof/>
        </w:rPr>
        <w:t>130</w:t>
      </w:r>
      <w:r>
        <w:rPr>
          <w:noProof/>
        </w:rPr>
        <w:fldChar w:fldCharType="end"/>
      </w:r>
      <w:bookmarkEnd w:id="90"/>
      <w:r w:rsidR="005D672A">
        <w:rPr>
          <w:noProof/>
        </w:rPr>
        <w:t>.</w:t>
      </w:r>
      <w:r w:rsidR="00FA6E17">
        <w:rPr>
          <w:noProof/>
        </w:rPr>
        <w:t>  </w:t>
      </w:r>
      <w:r w:rsidR="0037066D">
        <w:t>Describing the general relevance of an appellant</w:t>
      </w:r>
      <w:r w:rsidR="005E7B7A">
        <w:t>’</w:t>
      </w:r>
      <w:r w:rsidR="0037066D">
        <w:t xml:space="preserve">s personal circumstances to the sentence imposed, the court acknowledged that youth or vulnerability might be </w:t>
      </w:r>
      <w:r w:rsidR="00642F53">
        <w:t>pertinent</w:t>
      </w:r>
      <w:r w:rsidR="0037066D">
        <w:t>, but emphasised that this was not the case in respect of most of the appellants before it, including the fourth applicant. The court noted that the appellants had acted without any regard whatsoever to their public duty, and continued:</w:t>
      </w:r>
    </w:p>
    <w:p w:rsidR="0037066D" w:rsidRDefault="0037066D" w:rsidP="0037066D">
      <w:pPr>
        <w:pStyle w:val="ECHRParaQuote"/>
      </w:pPr>
      <w:r>
        <w:t xml:space="preserve">“None except [the fourth applicant] made any disclosure at all until they were arrested </w:t>
      </w:r>
      <w:r w:rsidR="00C91245">
        <w:t>...</w:t>
      </w:r>
      <w:r>
        <w:t>”</w:t>
      </w:r>
    </w:p>
    <w:bookmarkStart w:id="91" w:name="Abduappealreduction"/>
    <w:p w:rsidR="00AC203B" w:rsidRDefault="0082058A" w:rsidP="005D672A">
      <w:pPr>
        <w:pStyle w:val="JuPara"/>
      </w:pPr>
      <w:r>
        <w:rPr>
          <w:noProof/>
        </w:rPr>
        <w:fldChar w:fldCharType="begin"/>
      </w:r>
      <w:r w:rsidR="0037066D">
        <w:rPr>
          <w:noProof/>
        </w:rPr>
        <w:instrText xml:space="preserve"> SEQ level0 \*arabic </w:instrText>
      </w:r>
      <w:r>
        <w:rPr>
          <w:noProof/>
        </w:rPr>
        <w:fldChar w:fldCharType="separate"/>
      </w:r>
      <w:r w:rsidR="00517F95">
        <w:rPr>
          <w:noProof/>
        </w:rPr>
        <w:t>131</w:t>
      </w:r>
      <w:r>
        <w:rPr>
          <w:noProof/>
        </w:rPr>
        <w:fldChar w:fldCharType="end"/>
      </w:r>
      <w:bookmarkEnd w:id="91"/>
      <w:r w:rsidR="0037066D">
        <w:rPr>
          <w:noProof/>
        </w:rPr>
        <w:t>.  In conclusion, t</w:t>
      </w:r>
      <w:r w:rsidR="0037066D">
        <w:t>he Court of Appeal partly allowed the fourth applicant</w:t>
      </w:r>
      <w:r w:rsidR="005E7B7A">
        <w:t>’</w:t>
      </w:r>
      <w:r w:rsidR="0037066D">
        <w:t>s appeal against sentence, on account of the help he had given to the police</w:t>
      </w:r>
      <w:r w:rsidR="00AC203B">
        <w:t>:</w:t>
      </w:r>
    </w:p>
    <w:p w:rsidR="00AC203B" w:rsidRDefault="00FA6E17" w:rsidP="00AC203B">
      <w:pPr>
        <w:pStyle w:val="ECHRParaQuote"/>
      </w:pPr>
      <w:r>
        <w:t>“47.  </w:t>
      </w:r>
      <w:r w:rsidR="00AC203B" w:rsidRPr="00AC203B">
        <w:t xml:space="preserve">The assistance that </w:t>
      </w:r>
      <w:r w:rsidR="00AC203B">
        <w:t>[the fourth applicant]</w:t>
      </w:r>
      <w:r w:rsidR="00AC203B" w:rsidRPr="00AC203B">
        <w:t xml:space="preserve"> gave to Osman was of the utmost significance. We conclude, however, that we can and should reflect the fact that, albeit only after he had been seen by the police, he gave at least some help and information</w:t>
      </w:r>
      <w:r w:rsidR="00AC203B">
        <w:t xml:space="preserve"> </w:t>
      </w:r>
      <w:r w:rsidR="00C91245">
        <w:t>...</w:t>
      </w:r>
      <w:r w:rsidR="00AC203B">
        <w:t>”</w:t>
      </w:r>
    </w:p>
    <w:bookmarkStart w:id="92" w:name="Abduappealreductionandsherif"/>
    <w:p w:rsidR="00AC203B" w:rsidRDefault="0082058A" w:rsidP="005D672A">
      <w:pPr>
        <w:pStyle w:val="JuPara"/>
      </w:pPr>
      <w:r>
        <w:fldChar w:fldCharType="begin"/>
      </w:r>
      <w:r w:rsidR="00C04CCA">
        <w:instrText xml:space="preserve"> SEQ level0 \*arabic </w:instrText>
      </w:r>
      <w:r>
        <w:fldChar w:fldCharType="separate"/>
      </w:r>
      <w:r w:rsidR="00517F95">
        <w:rPr>
          <w:noProof/>
        </w:rPr>
        <w:t>132</w:t>
      </w:r>
      <w:r>
        <w:rPr>
          <w:noProof/>
        </w:rPr>
        <w:fldChar w:fldCharType="end"/>
      </w:r>
      <w:bookmarkEnd w:id="92"/>
      <w:r w:rsidR="00AC203B">
        <w:t xml:space="preserve">.  The court therefore </w:t>
      </w:r>
      <w:r w:rsidR="005D672A">
        <w:t xml:space="preserve">reduced the total </w:t>
      </w:r>
      <w:r w:rsidR="00D656A1">
        <w:t>sentence to one of eight years</w:t>
      </w:r>
      <w:r w:rsidR="005E7B7A">
        <w:t>’</w:t>
      </w:r>
      <w:r w:rsidR="00D656A1">
        <w:t xml:space="preserve"> </w:t>
      </w:r>
      <w:r w:rsidR="0037066D">
        <w:t xml:space="preserve">imprisonment. In dealing with </w:t>
      </w:r>
      <w:r w:rsidR="00B5717E">
        <w:t>Mr</w:t>
      </w:r>
      <w:r w:rsidR="0037066D">
        <w:t xml:space="preserve"> Sherif</w:t>
      </w:r>
      <w:r w:rsidR="005E7B7A">
        <w:t>’</w:t>
      </w:r>
      <w:r w:rsidR="0037066D">
        <w:t>s appeal against sentence, the court noted the critical role the latter had played in enabling Mr Osman</w:t>
      </w:r>
      <w:r w:rsidR="005E7B7A">
        <w:t>’</w:t>
      </w:r>
      <w:r w:rsidR="0037066D">
        <w:t>s escape and considered that it justified “a very severe sent</w:t>
      </w:r>
      <w:r w:rsidR="00B607FF">
        <w:t xml:space="preserve">ence which cannot be mitigated </w:t>
      </w:r>
      <w:r w:rsidR="0037066D">
        <w:t>as it was in the case of [the fourth applicant]</w:t>
      </w:r>
      <w:r w:rsidR="00B607FF">
        <w:t xml:space="preserve"> by his giving any information at any stage to the police”.</w:t>
      </w:r>
    </w:p>
    <w:p w:rsidR="005D672A" w:rsidRPr="00A6349D" w:rsidRDefault="00555E80" w:rsidP="005D672A">
      <w:pPr>
        <w:pStyle w:val="JuPara"/>
      </w:pPr>
      <w:r>
        <w:fldChar w:fldCharType="begin"/>
      </w:r>
      <w:r>
        <w:instrText xml:space="preserve"> SE</w:instrText>
      </w:r>
      <w:r>
        <w:instrText xml:space="preserve">Q level0 \*arabic </w:instrText>
      </w:r>
      <w:r>
        <w:fldChar w:fldCharType="separate"/>
      </w:r>
      <w:r w:rsidR="00517F95">
        <w:rPr>
          <w:noProof/>
        </w:rPr>
        <w:t>133</w:t>
      </w:r>
      <w:r>
        <w:rPr>
          <w:noProof/>
        </w:rPr>
        <w:fldChar w:fldCharType="end"/>
      </w:r>
      <w:r w:rsidR="00AC203B">
        <w:t>.  </w:t>
      </w:r>
      <w:r w:rsidR="005D672A">
        <w:t>On 3 February 2009 it refused to certify a question of general public importance for the consideration of the House of Lords.</w:t>
      </w:r>
    </w:p>
    <w:p w:rsidR="00491FF5" w:rsidRPr="00064917" w:rsidRDefault="00642F53" w:rsidP="00642F53">
      <w:pPr>
        <w:pStyle w:val="ECHRHeading1"/>
      </w:pPr>
      <w:r>
        <w:t>II</w:t>
      </w:r>
      <w:r w:rsidR="00491FF5" w:rsidRPr="00064917">
        <w:t>.</w:t>
      </w:r>
      <w:r w:rsidR="00FA6E17">
        <w:t>  </w:t>
      </w:r>
      <w:r w:rsidRPr="00064917">
        <w:t>RELEVANT DOMESTIC LAW AND PRACTICE</w:t>
      </w:r>
    </w:p>
    <w:p w:rsidR="00803454" w:rsidRPr="00064917" w:rsidRDefault="00642F53" w:rsidP="00064F61">
      <w:pPr>
        <w:pStyle w:val="ECHRHeading2"/>
      </w:pPr>
      <w:r>
        <w:t>A</w:t>
      </w:r>
      <w:r w:rsidR="00803454" w:rsidRPr="00064917">
        <w:t>.</w:t>
      </w:r>
      <w:r w:rsidR="00FA6E17">
        <w:t>  </w:t>
      </w:r>
      <w:r w:rsidR="00803454" w:rsidRPr="00064917">
        <w:t>Cautions</w:t>
      </w:r>
    </w:p>
    <w:bookmarkStart w:id="93" w:name="CodeCobligationtocuationsuspect"/>
    <w:bookmarkStart w:id="94" w:name="aaa134"/>
    <w:p w:rsidR="00803454" w:rsidRDefault="0082058A" w:rsidP="00064F61">
      <w:pPr>
        <w:pStyle w:val="JuParaLast"/>
      </w:pPr>
      <w:r>
        <w:rPr>
          <w:noProof/>
        </w:rPr>
        <w:fldChar w:fldCharType="begin"/>
      </w:r>
      <w:r w:rsidR="00BA5F16">
        <w:rPr>
          <w:noProof/>
        </w:rPr>
        <w:instrText xml:space="preserve"> SEQ level0 \*arabic </w:instrText>
      </w:r>
      <w:r>
        <w:rPr>
          <w:noProof/>
        </w:rPr>
        <w:fldChar w:fldCharType="separate"/>
      </w:r>
      <w:r w:rsidR="00517F95">
        <w:rPr>
          <w:noProof/>
        </w:rPr>
        <w:t>134</w:t>
      </w:r>
      <w:r>
        <w:rPr>
          <w:noProof/>
        </w:rPr>
        <w:fldChar w:fldCharType="end"/>
      </w:r>
      <w:bookmarkEnd w:id="93"/>
      <w:bookmarkEnd w:id="94"/>
      <w:r w:rsidR="00FA6E17">
        <w:rPr>
          <w:noProof/>
        </w:rPr>
        <w:t>.  </w:t>
      </w:r>
      <w:r w:rsidR="00BA5F16">
        <w:t xml:space="preserve">Section 66 </w:t>
      </w:r>
      <w:r w:rsidR="00642F53">
        <w:t>PACE</w:t>
      </w:r>
      <w:r w:rsidR="00BA5F16">
        <w:t xml:space="preserve"> requires the Secretary of State to issue a code of practice, </w:t>
      </w:r>
      <w:r w:rsidR="00BA5F16" w:rsidRPr="00A6689B">
        <w:rPr>
          <w:i/>
        </w:rPr>
        <w:t>inter alia</w:t>
      </w:r>
      <w:r w:rsidR="00BA5F16">
        <w:t xml:space="preserve"> on the detention, treatment and questioning of persons by police officers. The applicable code of practice is Code C. </w:t>
      </w:r>
      <w:r w:rsidR="00642F53">
        <w:t>Section</w:t>
      </w:r>
      <w:r w:rsidR="00803454">
        <w:t xml:space="preserve"> 10 of Code C </w:t>
      </w:r>
      <w:r w:rsidR="00BA5F16">
        <w:t>concerns</w:t>
      </w:r>
      <w:r w:rsidR="00803454">
        <w:t xml:space="preserve"> cautions and</w:t>
      </w:r>
      <w:r w:rsidR="00642F53">
        <w:t xml:space="preserve"> at the relevant time</w:t>
      </w:r>
      <w:r w:rsidR="00803454">
        <w:t xml:space="preserve"> paragraph 10.1 provide</w:t>
      </w:r>
      <w:r w:rsidR="00642F53">
        <w:t>d</w:t>
      </w:r>
      <w:r w:rsidR="00803454">
        <w:t>:</w:t>
      </w:r>
    </w:p>
    <w:p w:rsidR="00803454" w:rsidRDefault="00803454" w:rsidP="00803454">
      <w:pPr>
        <w:pStyle w:val="ECHRParaQuote"/>
      </w:pPr>
      <w:r>
        <w:t>“A person whom there are grounds to suspect of an offence must be cautioned before any questions about an offence, or further questions if the answers provide the grounds for suspicion, are put to them if either t</w:t>
      </w:r>
      <w:r w:rsidR="00AA3CA1">
        <w:t>he suspect</w:t>
      </w:r>
      <w:r w:rsidR="005E7B7A">
        <w:t>’</w:t>
      </w:r>
      <w:r w:rsidR="00AA3CA1">
        <w:t>s answers or silence</w:t>
      </w:r>
      <w:r w:rsidR="00B34516">
        <w:t xml:space="preserve"> (i.e. </w:t>
      </w:r>
      <w:r>
        <w:t>failure or refusal to answer or answer satisfactorily) may be given in evidence to a court in a prosecution.”</w:t>
      </w:r>
    </w:p>
    <w:bookmarkStart w:id="95" w:name="cautionoldstyle"/>
    <w:p w:rsidR="00803454" w:rsidRDefault="0082058A" w:rsidP="00803454">
      <w:pPr>
        <w:pStyle w:val="JuPara"/>
      </w:pPr>
      <w:r>
        <w:lastRenderedPageBreak/>
        <w:fldChar w:fldCharType="begin"/>
      </w:r>
      <w:r w:rsidR="00803454">
        <w:instrText xml:space="preserve"> SEQ level0 \*arabic </w:instrText>
      </w:r>
      <w:r>
        <w:fldChar w:fldCharType="separate"/>
      </w:r>
      <w:r w:rsidR="00517F95">
        <w:rPr>
          <w:noProof/>
        </w:rPr>
        <w:t>135</w:t>
      </w:r>
      <w:r>
        <w:fldChar w:fldCharType="end"/>
      </w:r>
      <w:bookmarkEnd w:id="95"/>
      <w:r w:rsidR="00803454">
        <w:t>.</w:t>
      </w:r>
      <w:r w:rsidR="00FA6E17">
        <w:t>  </w:t>
      </w:r>
      <w:r w:rsidR="00803454">
        <w:t>Prior to the</w:t>
      </w:r>
      <w:r w:rsidR="00D6031E">
        <w:t xml:space="preserve"> enactment of the</w:t>
      </w:r>
      <w:r w:rsidR="00803454">
        <w:t xml:space="preserve"> Criminal Justice and Public Order Act 1994, the wording of a caution</w:t>
      </w:r>
      <w:r w:rsidR="00341EC7">
        <w:t xml:space="preserve"> (commonly referred to as the old-style caution) </w:t>
      </w:r>
      <w:r w:rsidR="00803454">
        <w:t>was</w:t>
      </w:r>
      <w:r w:rsidR="00DA4260">
        <w:t>:</w:t>
      </w:r>
    </w:p>
    <w:p w:rsidR="00803454" w:rsidRPr="00064917" w:rsidRDefault="00803454" w:rsidP="00803454">
      <w:pPr>
        <w:pStyle w:val="ECHRParaQuote"/>
      </w:pPr>
      <w:r w:rsidRPr="00064917">
        <w:t>“You do not have to say anything, but anything you do say may be given in evidence.”</w:t>
      </w:r>
    </w:p>
    <w:bookmarkStart w:id="96" w:name="CJPOAsection34"/>
    <w:p w:rsidR="00803454" w:rsidRDefault="0082058A" w:rsidP="00803454">
      <w:pPr>
        <w:pStyle w:val="JuPara"/>
      </w:pPr>
      <w:r>
        <w:fldChar w:fldCharType="begin"/>
      </w:r>
      <w:r w:rsidR="00803454">
        <w:instrText xml:space="preserve"> SEQ level0 \*arabic </w:instrText>
      </w:r>
      <w:r>
        <w:fldChar w:fldCharType="separate"/>
      </w:r>
      <w:r w:rsidR="00517F95">
        <w:rPr>
          <w:noProof/>
        </w:rPr>
        <w:t>136</w:t>
      </w:r>
      <w:r>
        <w:fldChar w:fldCharType="end"/>
      </w:r>
      <w:bookmarkEnd w:id="96"/>
      <w:r w:rsidR="00803454">
        <w:t>.</w:t>
      </w:r>
      <w:r w:rsidR="00FA6E17">
        <w:t>  </w:t>
      </w:r>
      <w:r w:rsidR="00803454" w:rsidRPr="00064917">
        <w:t xml:space="preserve">Section 34 of the Criminal Justice and Public Order Act 1994 permits adverse inferences to be drawn by a jury where a defendant fails to mention during police questioning any fact relied on in his defence in subsequent criminal proceedings. The precise circumstances in which such adverse inferences can be drawn are </w:t>
      </w:r>
      <w:r w:rsidR="00803454">
        <w:t xml:space="preserve">normally </w:t>
      </w:r>
      <w:r w:rsidR="00803454" w:rsidRPr="00064917">
        <w:t>explained to the jury in detail in the trial judge</w:t>
      </w:r>
      <w:r w:rsidR="005E7B7A">
        <w:t>’</w:t>
      </w:r>
      <w:r w:rsidR="00BD70E6">
        <w:t>s summing up.</w:t>
      </w:r>
    </w:p>
    <w:bookmarkStart w:id="97" w:name="wordingofnewstylecaution"/>
    <w:bookmarkStart w:id="98" w:name="cautionnewstyle"/>
    <w:p w:rsidR="00803454" w:rsidRDefault="0082058A" w:rsidP="00803454">
      <w:pPr>
        <w:pStyle w:val="JuPara"/>
      </w:pPr>
      <w:r>
        <w:fldChar w:fldCharType="begin"/>
      </w:r>
      <w:r w:rsidR="00803454">
        <w:instrText xml:space="preserve"> SEQ level0 \*arabic </w:instrText>
      </w:r>
      <w:r>
        <w:fldChar w:fldCharType="separate"/>
      </w:r>
      <w:r w:rsidR="00517F95">
        <w:rPr>
          <w:noProof/>
        </w:rPr>
        <w:t>137</w:t>
      </w:r>
      <w:r>
        <w:fldChar w:fldCharType="end"/>
      </w:r>
      <w:bookmarkEnd w:id="97"/>
      <w:bookmarkEnd w:id="98"/>
      <w:r w:rsidR="00803454">
        <w:t>.</w:t>
      </w:r>
      <w:r w:rsidR="00FA6E17">
        <w:t>  </w:t>
      </w:r>
      <w:r w:rsidR="00803454">
        <w:t>The wording of the caution</w:t>
      </w:r>
      <w:r w:rsidR="00DA4260">
        <w:t xml:space="preserve"> </w:t>
      </w:r>
      <w:r w:rsidR="00815064">
        <w:t>that</w:t>
      </w:r>
      <w:r w:rsidR="00DA4260">
        <w:t xml:space="preserve"> has been routinely given since the </w:t>
      </w:r>
      <w:r w:rsidR="00341EC7">
        <w:t>entry into force</w:t>
      </w:r>
      <w:r w:rsidR="00DA4260">
        <w:t xml:space="preserve"> of the</w:t>
      </w:r>
      <w:r w:rsidR="00815064">
        <w:t xml:space="preserve"> 1994 Act </w:t>
      </w:r>
      <w:r w:rsidR="00341EC7">
        <w:t xml:space="preserve">(commonly referred to as the new-style caution) </w:t>
      </w:r>
      <w:r w:rsidR="00815064">
        <w:t>is</w:t>
      </w:r>
      <w:r w:rsidR="00341EC7">
        <w:t xml:space="preserve"> </w:t>
      </w:r>
      <w:r w:rsidR="00803454">
        <w:t>contained in paragraph 10.5</w:t>
      </w:r>
      <w:r w:rsidR="00815064">
        <w:t xml:space="preserve"> of Code C and </w:t>
      </w:r>
      <w:r w:rsidR="00803454">
        <w:t>is as follows:</w:t>
      </w:r>
    </w:p>
    <w:p w:rsidR="00803454" w:rsidRDefault="00803454" w:rsidP="00803454">
      <w:pPr>
        <w:pStyle w:val="ECHRParaQuote"/>
      </w:pPr>
      <w:r>
        <w:t>“You do not have to say anything. But it may harm your defence if you do not mention when questioned something which you later rely on in Court. Anything you do say may be given in evidence.”</w:t>
      </w:r>
    </w:p>
    <w:bookmarkStart w:id="99" w:name="aaa138"/>
    <w:p w:rsidR="00803454" w:rsidRDefault="003D1B82" w:rsidP="00803454">
      <w:pPr>
        <w:pStyle w:val="JuPara"/>
      </w:pPr>
      <w:r>
        <w:fldChar w:fldCharType="begin"/>
      </w:r>
      <w:r>
        <w:instrText xml:space="preserve"> SEQ level0 \*arabic </w:instrText>
      </w:r>
      <w:r>
        <w:fldChar w:fldCharType="separate"/>
      </w:r>
      <w:r w:rsidR="00517F95">
        <w:rPr>
          <w:noProof/>
        </w:rPr>
        <w:t>138</w:t>
      </w:r>
      <w:r>
        <w:rPr>
          <w:noProof/>
        </w:rPr>
        <w:fldChar w:fldCharType="end"/>
      </w:r>
      <w:bookmarkEnd w:id="99"/>
      <w:r w:rsidR="00803454">
        <w:t>.</w:t>
      </w:r>
      <w:r w:rsidR="00FA6E17">
        <w:t>  </w:t>
      </w:r>
      <w:r w:rsidR="00803454" w:rsidRPr="00064917">
        <w:t>Pursuant to section 34(2A)</w:t>
      </w:r>
      <w:r w:rsidR="00803454">
        <w:t xml:space="preserve"> of the 1994</w:t>
      </w:r>
      <w:r w:rsidR="00341EC7">
        <w:t xml:space="preserve"> Act</w:t>
      </w:r>
      <w:r w:rsidR="00803454" w:rsidRPr="00064917">
        <w:t>, adverse inferences cannot be drawn</w:t>
      </w:r>
      <w:r w:rsidR="00341EC7">
        <w:t xml:space="preserve"> at trial</w:t>
      </w:r>
      <w:r w:rsidR="00803454" w:rsidRPr="00064917">
        <w:t xml:space="preserve"> if the defendant was not allowed an opportunity to consult a solicitor prior to being questioned.</w:t>
      </w:r>
    </w:p>
    <w:p w:rsidR="00491FF5" w:rsidRPr="00064917" w:rsidRDefault="00D6031E" w:rsidP="00D6031E">
      <w:pPr>
        <w:pStyle w:val="ECHRHeading2"/>
      </w:pPr>
      <w:r>
        <w:t>B</w:t>
      </w:r>
      <w:r w:rsidR="00FA6E17">
        <w:t>.  </w:t>
      </w:r>
      <w:r w:rsidR="00491FF5" w:rsidRPr="00064917">
        <w:t>Safety interviews</w:t>
      </w:r>
    </w:p>
    <w:p w:rsidR="00491FF5" w:rsidRPr="00064917" w:rsidRDefault="00D6031E" w:rsidP="00D6031E">
      <w:pPr>
        <w:pStyle w:val="ECHRHeading3"/>
      </w:pPr>
      <w:r>
        <w:t>1.</w:t>
      </w:r>
      <w:r w:rsidR="00FA6E17">
        <w:t>  </w:t>
      </w:r>
      <w:r w:rsidR="00491FF5" w:rsidRPr="00064917">
        <w:t>The Terrorism Act 2000</w:t>
      </w:r>
    </w:p>
    <w:bookmarkStart w:id="100" w:name="Schedule8start"/>
    <w:bookmarkStart w:id="101" w:name="TA2000start"/>
    <w:p w:rsidR="00491FF5" w:rsidRPr="00064917" w:rsidRDefault="0082058A" w:rsidP="00341EC7">
      <w:pPr>
        <w:pStyle w:val="JuPara"/>
      </w:pPr>
      <w:r>
        <w:fldChar w:fldCharType="begin"/>
      </w:r>
      <w:r w:rsidR="00796677">
        <w:instrText xml:space="preserve"> SEQ level0 \*arabic </w:instrText>
      </w:r>
      <w:r>
        <w:fldChar w:fldCharType="separate"/>
      </w:r>
      <w:r w:rsidR="00517F95">
        <w:rPr>
          <w:noProof/>
        </w:rPr>
        <w:t>139</w:t>
      </w:r>
      <w:r>
        <w:fldChar w:fldCharType="end"/>
      </w:r>
      <w:bookmarkEnd w:id="100"/>
      <w:bookmarkEnd w:id="101"/>
      <w:r w:rsidR="00796677">
        <w:t>.</w:t>
      </w:r>
      <w:r w:rsidR="00FA6E17">
        <w:t>  </w:t>
      </w:r>
      <w:r w:rsidR="00491FF5" w:rsidRPr="00064917">
        <w:t>The Terrorism Act 2000 (“the 2000 Act”) governs the arrest and detention of those suspected of committing terrorist offences.</w:t>
      </w:r>
      <w:r w:rsidR="00341EC7" w:rsidRPr="00341EC7">
        <w:t xml:space="preserve"> </w:t>
      </w:r>
      <w:r w:rsidR="00341EC7">
        <w:t xml:space="preserve">Section 41 allows a police constable to arrest without a warrant a person whom he reasonably suspects to be a terrorist. In the </w:t>
      </w:r>
      <w:r w:rsidR="00BD70E6">
        <w:t>case of an arrest under section </w:t>
      </w:r>
      <w:r w:rsidR="00341EC7">
        <w:t xml:space="preserve">41, the provisions of Schedule 8, which address </w:t>
      </w:r>
      <w:r w:rsidR="00341EC7" w:rsidRPr="00341EC7">
        <w:rPr>
          <w:i/>
        </w:rPr>
        <w:t>inter alia</w:t>
      </w:r>
      <w:r w:rsidR="00491FF5" w:rsidRPr="00064917">
        <w:t xml:space="preserve"> access to legal advice</w:t>
      </w:r>
      <w:r w:rsidR="00341EC7">
        <w:t>, apply</w:t>
      </w:r>
      <w:r w:rsidR="00491FF5" w:rsidRPr="00064917">
        <w:t>. The law cited below sets out the position at the material time; amendments which are not significant in the present cases have since been made to the relevant provisions.</w:t>
      </w:r>
    </w:p>
    <w:bookmarkStart w:id="102" w:name="incommunicado1"/>
    <w:p w:rsidR="00491FF5" w:rsidRPr="00064917" w:rsidRDefault="0082058A" w:rsidP="00491FF5">
      <w:pPr>
        <w:pStyle w:val="JuPara"/>
      </w:pPr>
      <w:r>
        <w:fldChar w:fldCharType="begin"/>
      </w:r>
      <w:r w:rsidR="00796677">
        <w:instrText xml:space="preserve"> SEQ level0 \*arabic </w:instrText>
      </w:r>
      <w:r>
        <w:fldChar w:fldCharType="separate"/>
      </w:r>
      <w:r w:rsidR="00517F95">
        <w:rPr>
          <w:noProof/>
        </w:rPr>
        <w:t>140</w:t>
      </w:r>
      <w:r>
        <w:fldChar w:fldCharType="end"/>
      </w:r>
      <w:bookmarkEnd w:id="102"/>
      <w:r w:rsidR="00796677">
        <w:t>.</w:t>
      </w:r>
      <w:r w:rsidR="00FA6E17">
        <w:t>  </w:t>
      </w:r>
      <w:r w:rsidR="00491FF5" w:rsidRPr="00064917">
        <w:t xml:space="preserve">Paragraph 6 </w:t>
      </w:r>
      <w:r w:rsidR="00EE4614">
        <w:t xml:space="preserve">of Schedule 8 </w:t>
      </w:r>
      <w:r w:rsidR="00491FF5" w:rsidRPr="00064917">
        <w:t>set out the right of a detainee, if he so requested, to have one named person informed as soon as was reasonably practicable that he was being detained (“the right not to be held incommunicado”). This right was subject to paragraph 8.</w:t>
      </w:r>
    </w:p>
    <w:bookmarkStart w:id="103" w:name="TA2000para7legaladvice"/>
    <w:p w:rsidR="00491FF5" w:rsidRPr="00064917" w:rsidRDefault="0082058A" w:rsidP="00491FF5">
      <w:pPr>
        <w:pStyle w:val="JuPara"/>
      </w:pPr>
      <w:r>
        <w:fldChar w:fldCharType="begin"/>
      </w:r>
      <w:r w:rsidR="00C04CCA">
        <w:instrText xml:space="preserve"> SEQ level0 \*arabic </w:instrText>
      </w:r>
      <w:r>
        <w:fldChar w:fldCharType="separate"/>
      </w:r>
      <w:r w:rsidR="00517F95">
        <w:rPr>
          <w:noProof/>
        </w:rPr>
        <w:t>141</w:t>
      </w:r>
      <w:r>
        <w:rPr>
          <w:noProof/>
        </w:rPr>
        <w:fldChar w:fldCharType="end"/>
      </w:r>
      <w:bookmarkEnd w:id="103"/>
      <w:r w:rsidR="00796677">
        <w:t>.</w:t>
      </w:r>
      <w:r w:rsidR="00FA6E17">
        <w:t>  </w:t>
      </w:r>
      <w:r w:rsidR="00491FF5" w:rsidRPr="00064917">
        <w:t>Paragraph 7 provided that a person who was arrested as a suspected terrorist was entitled, if he so requested, to consult a solicitor as soon as reasonably practicable, privately and at any time (“the right to legal advice”). This right was also subject to paragraph 8.</w:t>
      </w:r>
    </w:p>
    <w:bookmarkStart w:id="104" w:name="incommunicado2"/>
    <w:bookmarkStart w:id="105" w:name="para8ofschedule8"/>
    <w:bookmarkStart w:id="106" w:name="TA2000para8exception"/>
    <w:p w:rsidR="00491FF5" w:rsidRPr="00064917" w:rsidRDefault="0082058A" w:rsidP="00491FF5">
      <w:pPr>
        <w:pStyle w:val="JuPara"/>
      </w:pPr>
      <w:r>
        <w:fldChar w:fldCharType="begin"/>
      </w:r>
      <w:r w:rsidR="00796677">
        <w:instrText xml:space="preserve"> SEQ level0 \*arabic </w:instrText>
      </w:r>
      <w:r>
        <w:fldChar w:fldCharType="separate"/>
      </w:r>
      <w:r w:rsidR="00517F95">
        <w:rPr>
          <w:noProof/>
        </w:rPr>
        <w:t>142</w:t>
      </w:r>
      <w:r>
        <w:fldChar w:fldCharType="end"/>
      </w:r>
      <w:bookmarkEnd w:id="104"/>
      <w:bookmarkEnd w:id="105"/>
      <w:bookmarkEnd w:id="106"/>
      <w:r w:rsidR="00796677">
        <w:t>.</w:t>
      </w:r>
      <w:r w:rsidR="00FA6E17">
        <w:t>  </w:t>
      </w:r>
      <w:r w:rsidR="00491FF5" w:rsidRPr="00064917">
        <w:t xml:space="preserve">Paragraph 8(1) provided that an officer of at least the rank of superintendent could authorise a delay in the entitlements set out in paragraphs 6 and 7. Pursuant to paragraph 8(2), such authorisation could be </w:t>
      </w:r>
      <w:r w:rsidR="00491FF5" w:rsidRPr="00064917">
        <w:lastRenderedPageBreak/>
        <w:t xml:space="preserve">given only if </w:t>
      </w:r>
      <w:r w:rsidR="00D33A21">
        <w:t>the officer</w:t>
      </w:r>
      <w:r w:rsidR="00491FF5" w:rsidRPr="00064917">
        <w:t xml:space="preserve"> had reasonable grounds for believing that the exercise of the entitlements would have any of the following consequences:</w:t>
      </w:r>
    </w:p>
    <w:p w:rsidR="00491FF5" w:rsidRPr="00064917" w:rsidRDefault="00491FF5" w:rsidP="00491FF5">
      <w:pPr>
        <w:pStyle w:val="ECHRParaQuote"/>
      </w:pPr>
      <w:r w:rsidRPr="00064917">
        <w:t>“(a)</w:t>
      </w:r>
      <w:r w:rsidR="00FA6E17">
        <w:t>  </w:t>
      </w:r>
      <w:r w:rsidRPr="00064917">
        <w:t>interference with or harm to evidence of a serious arrestable offence,</w:t>
      </w:r>
    </w:p>
    <w:p w:rsidR="00491FF5" w:rsidRPr="00064917" w:rsidRDefault="00491FF5" w:rsidP="00491FF5">
      <w:pPr>
        <w:pStyle w:val="ECHRParaQuote"/>
      </w:pPr>
      <w:r w:rsidRPr="00064917">
        <w:t>(b)</w:t>
      </w:r>
      <w:r w:rsidR="00FA6E17">
        <w:t>  </w:t>
      </w:r>
      <w:r w:rsidRPr="00064917">
        <w:t>interference with or physical injury to any person,</w:t>
      </w:r>
    </w:p>
    <w:p w:rsidR="00491FF5" w:rsidRPr="00064917" w:rsidRDefault="00491FF5" w:rsidP="00491FF5">
      <w:pPr>
        <w:pStyle w:val="ECHRParaQuote"/>
      </w:pPr>
      <w:r w:rsidRPr="00064917">
        <w:t>(c)</w:t>
      </w:r>
      <w:r w:rsidR="00FA6E17">
        <w:t>  </w:t>
      </w:r>
      <w:r w:rsidRPr="00064917">
        <w:t>the alerting of persons who are suspected of having committed a serious (arrestable) offence but who have not been arrested for it,</w:t>
      </w:r>
    </w:p>
    <w:p w:rsidR="00491FF5" w:rsidRPr="00064917" w:rsidRDefault="00491FF5" w:rsidP="00491FF5">
      <w:pPr>
        <w:pStyle w:val="ECHRParaQuote"/>
      </w:pPr>
      <w:r w:rsidRPr="00064917">
        <w:t>(d)</w:t>
      </w:r>
      <w:r w:rsidR="00FA6E17">
        <w:t>  </w:t>
      </w:r>
      <w:r w:rsidRPr="00064917">
        <w:t xml:space="preserve">the hindering of the recovery of property obtained as a result of a serious (arrestable) offence or in respect of which a forfeiture order could be made </w:t>
      </w:r>
      <w:r>
        <w:t>...</w:t>
      </w:r>
      <w:r w:rsidRPr="00064917">
        <w:t>;</w:t>
      </w:r>
    </w:p>
    <w:p w:rsidR="00491FF5" w:rsidRPr="00064917" w:rsidRDefault="00FA6E17" w:rsidP="00491FF5">
      <w:pPr>
        <w:pStyle w:val="ECHRParaQuote"/>
      </w:pPr>
      <w:r>
        <w:t>(e)  </w:t>
      </w:r>
      <w:r w:rsidR="00491FF5" w:rsidRPr="00064917">
        <w:t>interference with the gathering of information about the commission, preparation or instigation of acts of terrorism,</w:t>
      </w:r>
    </w:p>
    <w:p w:rsidR="00491FF5" w:rsidRPr="00064917" w:rsidRDefault="00491FF5" w:rsidP="00491FF5">
      <w:pPr>
        <w:pStyle w:val="ECHRParaQuote"/>
      </w:pPr>
      <w:r w:rsidRPr="00064917">
        <w:t>(f)</w:t>
      </w:r>
      <w:r w:rsidR="00FA6E17">
        <w:t>  </w:t>
      </w:r>
      <w:r w:rsidRPr="00064917">
        <w:t>the alerting of a person and thereby making it more difficult to prevent an act of terrorism, and</w:t>
      </w:r>
    </w:p>
    <w:p w:rsidR="00491FF5" w:rsidRPr="00064917" w:rsidRDefault="00491FF5" w:rsidP="00491FF5">
      <w:pPr>
        <w:pStyle w:val="ECHRParaQuote"/>
      </w:pPr>
      <w:r w:rsidRPr="00064917">
        <w:t>(g)</w:t>
      </w:r>
      <w:r w:rsidR="00FA6E17">
        <w:t>  </w:t>
      </w:r>
      <w:r w:rsidRPr="00064917">
        <w:t>the alerting of a person and thereby making it more difficult to secure a person</w:t>
      </w:r>
      <w:r w:rsidR="005E7B7A">
        <w:t>’</w:t>
      </w:r>
      <w:r w:rsidRPr="00064917">
        <w:t>s apprehension, prosecution or conviction in connection with the commission, preparation or instigation of an act of terrorism.”</w:t>
      </w:r>
    </w:p>
    <w:bookmarkStart w:id="107" w:name="incommunicado3"/>
    <w:bookmarkStart w:id="108" w:name="TA2000reasonsinform"/>
    <w:p w:rsidR="00491FF5" w:rsidRPr="00064917" w:rsidRDefault="0082058A" w:rsidP="00491FF5">
      <w:pPr>
        <w:pStyle w:val="JuPara"/>
      </w:pPr>
      <w:r>
        <w:fldChar w:fldCharType="begin"/>
      </w:r>
      <w:r w:rsidR="00796677">
        <w:instrText xml:space="preserve"> SEQ level0 \*arabic </w:instrText>
      </w:r>
      <w:r>
        <w:fldChar w:fldCharType="separate"/>
      </w:r>
      <w:r w:rsidR="00517F95">
        <w:rPr>
          <w:noProof/>
        </w:rPr>
        <w:t>143</w:t>
      </w:r>
      <w:r>
        <w:fldChar w:fldCharType="end"/>
      </w:r>
      <w:bookmarkEnd w:id="107"/>
      <w:bookmarkEnd w:id="108"/>
      <w:r w:rsidR="00796677">
        <w:t>.</w:t>
      </w:r>
      <w:r w:rsidR="00FA6E17">
        <w:t>  </w:t>
      </w:r>
      <w:r w:rsidR="00491FF5" w:rsidRPr="00064917">
        <w:t>Paragraph 8(7) provided that where authorisation was given, the detainee had to be informed of the reasons for the delay as soon as practicable and the reasons had to be recorded.</w:t>
      </w:r>
    </w:p>
    <w:p w:rsidR="00491FF5" w:rsidRPr="00064917" w:rsidRDefault="00D6031E" w:rsidP="00D6031E">
      <w:pPr>
        <w:pStyle w:val="ECHRHeading3"/>
      </w:pPr>
      <w:r>
        <w:t>2.</w:t>
      </w:r>
      <w:r w:rsidR="00FA6E17">
        <w:t>  </w:t>
      </w:r>
      <w:r w:rsidR="00491FF5" w:rsidRPr="00064917">
        <w:t xml:space="preserve">The </w:t>
      </w:r>
      <w:r w:rsidR="00F4763F">
        <w:t xml:space="preserve">relevant provisions of </w:t>
      </w:r>
      <w:r w:rsidR="00491FF5" w:rsidRPr="00064917">
        <w:t>Code</w:t>
      </w:r>
      <w:r w:rsidR="00F4763F">
        <w:t xml:space="preserve"> C</w:t>
      </w:r>
    </w:p>
    <w:bookmarkStart w:id="109" w:name="Codeofpracticestart"/>
    <w:bookmarkStart w:id="110" w:name="CodeCstart"/>
    <w:p w:rsidR="00491FF5" w:rsidRDefault="0082058A" w:rsidP="00491FF5">
      <w:pPr>
        <w:pStyle w:val="JuPara"/>
      </w:pPr>
      <w:r>
        <w:fldChar w:fldCharType="begin"/>
      </w:r>
      <w:r w:rsidR="00796677">
        <w:instrText xml:space="preserve"> SEQ level0 \*arabic </w:instrText>
      </w:r>
      <w:r>
        <w:fldChar w:fldCharType="separate"/>
      </w:r>
      <w:r w:rsidR="00517F95">
        <w:rPr>
          <w:noProof/>
        </w:rPr>
        <w:t>144</w:t>
      </w:r>
      <w:r>
        <w:fldChar w:fldCharType="end"/>
      </w:r>
      <w:bookmarkEnd w:id="109"/>
      <w:bookmarkEnd w:id="110"/>
      <w:r w:rsidR="00796677">
        <w:t>.</w:t>
      </w:r>
      <w:r w:rsidR="00FA6E17">
        <w:t>  </w:t>
      </w:r>
      <w:r w:rsidR="00491FF5" w:rsidRPr="00064917">
        <w:t xml:space="preserve">At the material time no </w:t>
      </w:r>
      <w:r w:rsidR="005965FA">
        <w:t xml:space="preserve">specific </w:t>
      </w:r>
      <w:r w:rsidR="00491FF5" w:rsidRPr="00064917">
        <w:t>codes of practice existed in relation to the above provisions. Code C</w:t>
      </w:r>
      <w:r w:rsidR="00D6031E">
        <w:t xml:space="preserve"> (see paragraph </w:t>
      </w:r>
      <w:r>
        <w:fldChar w:fldCharType="begin"/>
      </w:r>
      <w:r w:rsidR="00D563A5">
        <w:instrText xml:space="preserve"> REF CodeCobligationtocuationsuspect \h </w:instrText>
      </w:r>
      <w:r>
        <w:fldChar w:fldCharType="separate"/>
      </w:r>
      <w:r w:rsidR="00517F95">
        <w:rPr>
          <w:noProof/>
        </w:rPr>
        <w:t>134</w:t>
      </w:r>
      <w:r>
        <w:fldChar w:fldCharType="end"/>
      </w:r>
      <w:r w:rsidR="00D563A5">
        <w:t xml:space="preserve"> </w:t>
      </w:r>
      <w:r w:rsidR="00D6031E">
        <w:t>above)</w:t>
      </w:r>
      <w:r w:rsidR="001329B7">
        <w:t xml:space="preserve"> also covered</w:t>
      </w:r>
      <w:r w:rsidR="00796677">
        <w:t xml:space="preserve"> </w:t>
      </w:r>
      <w:r w:rsidR="00491FF5" w:rsidRPr="00064917">
        <w:t>those detained on suspicion of terrorism.</w:t>
      </w:r>
    </w:p>
    <w:p w:rsidR="00491FF5" w:rsidRDefault="00555E80" w:rsidP="00491FF5">
      <w:pPr>
        <w:pStyle w:val="JuPara"/>
      </w:pPr>
      <w:r>
        <w:fldChar w:fldCharType="begin"/>
      </w:r>
      <w:r>
        <w:instrText xml:space="preserve"> SEQ level0 \*arabic </w:instrText>
      </w:r>
      <w:r>
        <w:fldChar w:fldCharType="separate"/>
      </w:r>
      <w:r w:rsidR="00517F95">
        <w:rPr>
          <w:noProof/>
        </w:rPr>
        <w:t>145</w:t>
      </w:r>
      <w:r>
        <w:rPr>
          <w:noProof/>
        </w:rPr>
        <w:fldChar w:fldCharType="end"/>
      </w:r>
      <w:r w:rsidR="00796677">
        <w:t>.</w:t>
      </w:r>
      <w:r w:rsidR="00FA6E17">
        <w:t>  </w:t>
      </w:r>
      <w:r w:rsidR="00491FF5" w:rsidRPr="00064917">
        <w:t>Section 5 of Code C dealt with the right not to be held incommunicado. Paragraphs 5.1 and 5.2 set out the general right to have a named person contacted as</w:t>
      </w:r>
      <w:r w:rsidR="00152872">
        <w:t xml:space="preserve"> established in paragraph 6 of S</w:t>
      </w:r>
      <w:r w:rsidR="00491FF5" w:rsidRPr="00064917">
        <w:t>chedule 8 to the 2000 Act and explained that the exercise of the right could only be delayed in accordance with Annex B of the Code</w:t>
      </w:r>
      <w:r w:rsidR="00EE4614">
        <w:t xml:space="preserve"> (see paragraph </w:t>
      </w:r>
      <w:r w:rsidR="0082058A">
        <w:fldChar w:fldCharType="begin"/>
      </w:r>
      <w:r w:rsidR="00EE4614">
        <w:instrText xml:space="preserve"> REF partbannexbfortyeighthours \h </w:instrText>
      </w:r>
      <w:r w:rsidR="0082058A">
        <w:fldChar w:fldCharType="separate"/>
      </w:r>
      <w:r w:rsidR="00517F95">
        <w:rPr>
          <w:noProof/>
        </w:rPr>
        <w:t>151</w:t>
      </w:r>
      <w:r w:rsidR="0082058A">
        <w:fldChar w:fldCharType="end"/>
      </w:r>
      <w:r w:rsidR="00EE4614">
        <w:t xml:space="preserve"> below)</w:t>
      </w:r>
      <w:r w:rsidR="00491FF5" w:rsidRPr="00064917">
        <w:t>.</w:t>
      </w:r>
    </w:p>
    <w:bookmarkStart w:id="111" w:name="safetyinterviewsrdlp1"/>
    <w:bookmarkStart w:id="112" w:name="CodeClegaladvice"/>
    <w:p w:rsidR="00950596" w:rsidRDefault="0082058A" w:rsidP="00C5232B">
      <w:pPr>
        <w:pStyle w:val="JuPara"/>
      </w:pPr>
      <w:r>
        <w:fldChar w:fldCharType="begin"/>
      </w:r>
      <w:r w:rsidR="00950596">
        <w:instrText xml:space="preserve"> SEQ level0 \*arabic </w:instrText>
      </w:r>
      <w:r>
        <w:fldChar w:fldCharType="separate"/>
      </w:r>
      <w:r w:rsidR="00517F95">
        <w:rPr>
          <w:noProof/>
        </w:rPr>
        <w:t>146</w:t>
      </w:r>
      <w:r>
        <w:fldChar w:fldCharType="end"/>
      </w:r>
      <w:bookmarkEnd w:id="111"/>
      <w:bookmarkEnd w:id="112"/>
      <w:r w:rsidR="00950596">
        <w:t>.</w:t>
      </w:r>
      <w:r w:rsidR="00FA6E17">
        <w:t>  </w:t>
      </w:r>
      <w:r w:rsidR="00950596" w:rsidRPr="00064917">
        <w:t xml:space="preserve">Section 6 of Code C dealt with the right to legal advice. </w:t>
      </w:r>
      <w:r w:rsidR="00491FF5" w:rsidRPr="00064917">
        <w:t>Paragraphs 6.1 and 6.5 set out the general right to legal advice as</w:t>
      </w:r>
      <w:r w:rsidR="00152872">
        <w:t xml:space="preserve"> established in paragraph 7 of S</w:t>
      </w:r>
      <w:r w:rsidR="00491FF5" w:rsidRPr="00064917">
        <w:t>chedule 8 to the 2000 Act and explained that the exercise of the right could only be delayed in accor</w:t>
      </w:r>
      <w:r w:rsidR="00950596">
        <w:t>dance with Annex B of the Code.</w:t>
      </w:r>
    </w:p>
    <w:bookmarkStart w:id="113" w:name="CodeCexception"/>
    <w:p w:rsidR="00C5232B" w:rsidRDefault="0082058A" w:rsidP="00950596">
      <w:pPr>
        <w:pStyle w:val="JuPara"/>
      </w:pPr>
      <w:r>
        <w:fldChar w:fldCharType="begin"/>
      </w:r>
      <w:r w:rsidR="00C04CCA">
        <w:instrText xml:space="preserve"> SEQ level0 \*arabic </w:instrText>
      </w:r>
      <w:r>
        <w:fldChar w:fldCharType="separate"/>
      </w:r>
      <w:r w:rsidR="00517F95">
        <w:rPr>
          <w:noProof/>
        </w:rPr>
        <w:t>147</w:t>
      </w:r>
      <w:r>
        <w:rPr>
          <w:noProof/>
        </w:rPr>
        <w:fldChar w:fldCharType="end"/>
      </w:r>
      <w:bookmarkEnd w:id="113"/>
      <w:r w:rsidR="001329B7">
        <w:t>.  </w:t>
      </w:r>
      <w:r w:rsidR="00491FF5" w:rsidRPr="00064917">
        <w:t>Paragraph 6.6 explained that a detainee who wanted legal advice could not be interviewed until he had received such advice unless</w:t>
      </w:r>
      <w:r w:rsidR="006D0455">
        <w:t>:</w:t>
      </w:r>
    </w:p>
    <w:p w:rsidR="00C5232B" w:rsidRDefault="00950596" w:rsidP="00950596">
      <w:pPr>
        <w:pStyle w:val="JuPara"/>
      </w:pPr>
      <w:r>
        <w:t>(</w:t>
      </w:r>
      <w:r w:rsidR="00C5232B">
        <w:t>a</w:t>
      </w:r>
      <w:r>
        <w:t>)</w:t>
      </w:r>
      <w:r w:rsidR="00FA6E17">
        <w:t>  </w:t>
      </w:r>
      <w:r w:rsidR="00491FF5" w:rsidRPr="00064917">
        <w:t>Annex B applied; or</w:t>
      </w:r>
    </w:p>
    <w:p w:rsidR="00C5232B" w:rsidRDefault="00C5232B" w:rsidP="00C5232B">
      <w:pPr>
        <w:pStyle w:val="JuPara"/>
        <w:ind w:left="284" w:firstLine="0"/>
      </w:pPr>
      <w:r>
        <w:t>(b</w:t>
      </w:r>
      <w:r w:rsidR="00950596">
        <w:t>)</w:t>
      </w:r>
      <w:r w:rsidR="00FA6E17">
        <w:t>  </w:t>
      </w:r>
      <w:r w:rsidR="00950596">
        <w:t xml:space="preserve">an officer of superintendent rank or above had </w:t>
      </w:r>
      <w:r w:rsidR="00491FF5" w:rsidRPr="00064917">
        <w:t>reasonable grounds to believe that</w:t>
      </w:r>
      <w:r>
        <w:t>:</w:t>
      </w:r>
    </w:p>
    <w:p w:rsidR="00C5232B" w:rsidRDefault="00C5232B" w:rsidP="00C5232B">
      <w:pPr>
        <w:pStyle w:val="JuPara"/>
        <w:ind w:left="706" w:firstLine="0"/>
      </w:pPr>
      <w:r>
        <w:t>(i)</w:t>
      </w:r>
      <w:r w:rsidR="00FA6E17">
        <w:t>  </w:t>
      </w:r>
      <w:r w:rsidR="00491FF5" w:rsidRPr="00064917">
        <w:t xml:space="preserve">the consequent delay might have, </w:t>
      </w:r>
      <w:r w:rsidR="00491FF5" w:rsidRPr="00064917">
        <w:rPr>
          <w:i/>
        </w:rPr>
        <w:t>inter alia,</w:t>
      </w:r>
      <w:r w:rsidR="00491FF5" w:rsidRPr="00064917">
        <w:t xml:space="preserve"> the consequences set out in paragraph 8 (a) to (d) of </w:t>
      </w:r>
      <w:r w:rsidR="00152872">
        <w:t>S</w:t>
      </w:r>
      <w:r w:rsidR="00491FF5" w:rsidRPr="00064917">
        <w:t xml:space="preserve">chedule 8 to the 2000 Act (see paragraph </w:t>
      </w:r>
      <w:r w:rsidR="0082058A">
        <w:fldChar w:fldCharType="begin"/>
      </w:r>
      <w:r w:rsidR="00554DA0">
        <w:instrText xml:space="preserve"> REF para8ofschedule8 \h </w:instrText>
      </w:r>
      <w:r w:rsidR="0082058A">
        <w:fldChar w:fldCharType="separate"/>
      </w:r>
      <w:r w:rsidR="00517F95">
        <w:rPr>
          <w:noProof/>
        </w:rPr>
        <w:t>142</w:t>
      </w:r>
      <w:r w:rsidR="0082058A">
        <w:fldChar w:fldCharType="end"/>
      </w:r>
      <w:r w:rsidR="00554DA0">
        <w:t xml:space="preserve"> </w:t>
      </w:r>
      <w:r w:rsidR="006D0455">
        <w:t>above); or</w:t>
      </w:r>
    </w:p>
    <w:p w:rsidR="00950596" w:rsidRDefault="00C5232B" w:rsidP="00C5232B">
      <w:pPr>
        <w:pStyle w:val="JuPara"/>
        <w:ind w:left="706" w:firstLine="0"/>
      </w:pPr>
      <w:r>
        <w:lastRenderedPageBreak/>
        <w:t>(ii)</w:t>
      </w:r>
      <w:r w:rsidR="00FA6E17">
        <w:t>  </w:t>
      </w:r>
      <w:r w:rsidR="00491FF5" w:rsidRPr="00064917">
        <w:t>when a solicitor had been contacted</w:t>
      </w:r>
      <w:r>
        <w:t xml:space="preserve"> and had agreed to attend, </w:t>
      </w:r>
      <w:r w:rsidR="00491FF5" w:rsidRPr="00064917">
        <w:t>awaiting his arrival would cause unreasonable delay to th</w:t>
      </w:r>
      <w:r w:rsidR="006D0455">
        <w:t>e process of the investigation.</w:t>
      </w:r>
    </w:p>
    <w:bookmarkStart w:id="114" w:name="CodeColdcaution"/>
    <w:p w:rsidR="00950596" w:rsidRDefault="0082058A" w:rsidP="00950596">
      <w:pPr>
        <w:pStyle w:val="JuPara"/>
      </w:pPr>
      <w:r>
        <w:fldChar w:fldCharType="begin"/>
      </w:r>
      <w:r w:rsidR="00C04CCA">
        <w:instrText xml:space="preserve"> SEQ level0 \*arabic </w:instrText>
      </w:r>
      <w:r>
        <w:fldChar w:fldCharType="separate"/>
      </w:r>
      <w:r w:rsidR="00517F95">
        <w:rPr>
          <w:noProof/>
        </w:rPr>
        <w:t>148</w:t>
      </w:r>
      <w:r>
        <w:rPr>
          <w:noProof/>
        </w:rPr>
        <w:fldChar w:fldCharType="end"/>
      </w:r>
      <w:bookmarkEnd w:id="114"/>
      <w:r w:rsidR="001329B7">
        <w:t>.  </w:t>
      </w:r>
      <w:r w:rsidR="00950596">
        <w:t>Paragraph 6.6 also explained that, in</w:t>
      </w:r>
      <w:r w:rsidR="00491FF5" w:rsidRPr="00064917">
        <w:t xml:space="preserve"> </w:t>
      </w:r>
      <w:r w:rsidR="00950596">
        <w:t>these</w:t>
      </w:r>
      <w:r w:rsidR="00491FF5" w:rsidRPr="00064917">
        <w:t xml:space="preserve"> cases, the restriction on drawing adverse inferences from silence would apply because the suspect had not had the opportunity to consult a solicitor. </w:t>
      </w:r>
      <w:r w:rsidR="00D33A21">
        <w:t xml:space="preserve">Annex C </w:t>
      </w:r>
      <w:r w:rsidR="00D33A21" w:rsidRPr="00064917">
        <w:t xml:space="preserve">clarified </w:t>
      </w:r>
      <w:r w:rsidR="00D33A21">
        <w:t>that the old-style caution was to be used.</w:t>
      </w:r>
    </w:p>
    <w:bookmarkStart w:id="115" w:name="CodeCceasequestions"/>
    <w:p w:rsidR="00560D3E" w:rsidRDefault="0082058A" w:rsidP="00D33A21">
      <w:pPr>
        <w:pStyle w:val="JuPara"/>
      </w:pPr>
      <w:r>
        <w:fldChar w:fldCharType="begin"/>
      </w:r>
      <w:r w:rsidR="00C04CCA">
        <w:instrText xml:space="preserve"> SEQ level0 \*arabic </w:instrText>
      </w:r>
      <w:r>
        <w:fldChar w:fldCharType="separate"/>
      </w:r>
      <w:r w:rsidR="00517F95">
        <w:rPr>
          <w:noProof/>
        </w:rPr>
        <w:t>149</w:t>
      </w:r>
      <w:r>
        <w:rPr>
          <w:noProof/>
        </w:rPr>
        <w:fldChar w:fldCharType="end"/>
      </w:r>
      <w:bookmarkEnd w:id="115"/>
      <w:r w:rsidR="001329B7">
        <w:t>.  </w:t>
      </w:r>
      <w:r w:rsidR="00491FF5" w:rsidRPr="00064917">
        <w:t>Paragraph 6.7 explained that once sufficient information had been obtained to avert the risk, the questioning should cease until the detainee had obtained legal advice.</w:t>
      </w:r>
    </w:p>
    <w:bookmarkStart w:id="116" w:name="CodeCnotes"/>
    <w:p w:rsidR="002E1F4E" w:rsidRDefault="0082058A" w:rsidP="002E1F4E">
      <w:pPr>
        <w:pStyle w:val="JuPara"/>
      </w:pPr>
      <w:r>
        <w:fldChar w:fldCharType="begin"/>
      </w:r>
      <w:r w:rsidR="00C04CCA">
        <w:instrText xml:space="preserve"> SEQ level0 \*arabic </w:instrText>
      </w:r>
      <w:r>
        <w:fldChar w:fldCharType="separate"/>
      </w:r>
      <w:r w:rsidR="00517F95">
        <w:rPr>
          <w:noProof/>
        </w:rPr>
        <w:t>150</w:t>
      </w:r>
      <w:r>
        <w:rPr>
          <w:noProof/>
        </w:rPr>
        <w:fldChar w:fldCharType="end"/>
      </w:r>
      <w:bookmarkEnd w:id="116"/>
      <w:r w:rsidR="002E1F4E">
        <w:t>.</w:t>
      </w:r>
      <w:r w:rsidR="00FA6E17">
        <w:t>  </w:t>
      </w:r>
      <w:r w:rsidR="002E1F4E">
        <w:t>The Notes for Guidance attached to Code C, includ</w:t>
      </w:r>
      <w:r w:rsidR="00950596">
        <w:t>ed</w:t>
      </w:r>
      <w:r w:rsidR="002E1F4E">
        <w:t xml:space="preserve"> paragraph</w:t>
      </w:r>
      <w:r w:rsidR="006D0455">
        <w:t> </w:t>
      </w:r>
      <w:r w:rsidR="002E1F4E">
        <w:t>C:6A:</w:t>
      </w:r>
    </w:p>
    <w:p w:rsidR="002E1F4E" w:rsidRPr="00064917" w:rsidRDefault="002E1F4E" w:rsidP="002E1F4E">
      <w:pPr>
        <w:pStyle w:val="ECHRParaQuote"/>
      </w:pPr>
      <w:r>
        <w:t xml:space="preserve">“In considering if paragraph 6.6(b) applies, the officer should, if practicable, ask the solicitor for an estimate of how long it will take to come to the station and relate this to the time detention is permitted, the time of day </w:t>
      </w:r>
      <w:r w:rsidR="00C91245">
        <w:t>...</w:t>
      </w:r>
      <w:r w:rsidR="00950596">
        <w:t xml:space="preserve"> </w:t>
      </w:r>
      <w:r>
        <w:t>and the requirements of other investigations. If the solicitor is on their way or is to set off immediately, it will not normally be appropriate to begin an interview before they arrive. If it appears necessary to begin an interview before the solicitor</w:t>
      </w:r>
      <w:r w:rsidR="005E7B7A">
        <w:t>’</w:t>
      </w:r>
      <w:r>
        <w:t>s arrival, they should be given an indication of how long the police would be able to wait before 6.6(b) applies so there is an opportunity to make arrangements for someone else to provide legal advice.”</w:t>
      </w:r>
    </w:p>
    <w:bookmarkStart w:id="117" w:name="partbannexbfortyeighthours"/>
    <w:bookmarkStart w:id="118" w:name="Codeofpracticeend"/>
    <w:bookmarkStart w:id="119" w:name="CodeCannexBtimelimit"/>
    <w:p w:rsidR="00491FF5" w:rsidRDefault="0082058A" w:rsidP="00491FF5">
      <w:pPr>
        <w:pStyle w:val="JuPara"/>
      </w:pPr>
      <w:r>
        <w:fldChar w:fldCharType="begin"/>
      </w:r>
      <w:r w:rsidR="00FC2A71">
        <w:instrText xml:space="preserve"> SEQ level0 \*arabic </w:instrText>
      </w:r>
      <w:r>
        <w:fldChar w:fldCharType="separate"/>
      </w:r>
      <w:r w:rsidR="00517F95">
        <w:rPr>
          <w:noProof/>
        </w:rPr>
        <w:t>151</w:t>
      </w:r>
      <w:r>
        <w:fldChar w:fldCharType="end"/>
      </w:r>
      <w:bookmarkEnd w:id="117"/>
      <w:bookmarkEnd w:id="118"/>
      <w:bookmarkEnd w:id="119"/>
      <w:r w:rsidR="00FC2A71">
        <w:t>.  </w:t>
      </w:r>
      <w:r w:rsidR="00491FF5" w:rsidRPr="00064917">
        <w:t xml:space="preserve">Part B of Annex B </w:t>
      </w:r>
      <w:r w:rsidR="00987EE5">
        <w:t xml:space="preserve">specifically </w:t>
      </w:r>
      <w:r w:rsidR="00491FF5" w:rsidRPr="00064917">
        <w:t>concerned persons detained under the 2000 Act. It provided that the right</w:t>
      </w:r>
      <w:r w:rsidR="00F66F53">
        <w:t>s</w:t>
      </w:r>
      <w:r w:rsidR="00491FF5" w:rsidRPr="00064917">
        <w:t xml:space="preserve"> discussed in sections 5 and 6 </w:t>
      </w:r>
      <w:r w:rsidR="00F66F53">
        <w:t xml:space="preserve">of Code C </w:t>
      </w:r>
      <w:r w:rsidR="00491FF5" w:rsidRPr="00064917">
        <w:t>could be delayed for up to forty-eight hours if there were reasonable grounds to believe that the exercise of the right would lead to the conseque</w:t>
      </w:r>
      <w:r w:rsidR="00152872">
        <w:t>nces set out in paragraph 8 of S</w:t>
      </w:r>
      <w:r w:rsidR="00491FF5" w:rsidRPr="00064917">
        <w:t>chedule 8</w:t>
      </w:r>
      <w:r w:rsidR="00815064">
        <w:t xml:space="preserve"> of the 2000 Act (see paragraph </w:t>
      </w:r>
      <w:r>
        <w:fldChar w:fldCharType="begin"/>
      </w:r>
      <w:r w:rsidR="00815064">
        <w:instrText xml:space="preserve"> REF para8ofschedule8 \h </w:instrText>
      </w:r>
      <w:r>
        <w:fldChar w:fldCharType="separate"/>
      </w:r>
      <w:r w:rsidR="00517F95">
        <w:rPr>
          <w:noProof/>
        </w:rPr>
        <w:t>142</w:t>
      </w:r>
      <w:r>
        <w:fldChar w:fldCharType="end"/>
      </w:r>
      <w:r w:rsidR="00815064">
        <w:t xml:space="preserve"> </w:t>
      </w:r>
      <w:r w:rsidR="00491FF5" w:rsidRPr="00064917">
        <w:t>above).</w:t>
      </w:r>
    </w:p>
    <w:p w:rsidR="00F31F1B" w:rsidRDefault="00D6031E" w:rsidP="00D6031E">
      <w:pPr>
        <w:pStyle w:val="ECHRHeading2"/>
      </w:pPr>
      <w:r>
        <w:t>C</w:t>
      </w:r>
      <w:r w:rsidR="00FA6E17">
        <w:t>.  </w:t>
      </w:r>
      <w:r w:rsidR="00796677">
        <w:t>The admissibility of evidence</w:t>
      </w:r>
    </w:p>
    <w:bookmarkStart w:id="120" w:name="PACEsection76"/>
    <w:p w:rsidR="00F31F1B" w:rsidRDefault="0082058A" w:rsidP="00F31F1B">
      <w:pPr>
        <w:pStyle w:val="JuPara"/>
      </w:pPr>
      <w:r>
        <w:fldChar w:fldCharType="begin"/>
      </w:r>
      <w:r w:rsidR="00796677">
        <w:instrText xml:space="preserve"> SEQ level0 \*arabic </w:instrText>
      </w:r>
      <w:r>
        <w:fldChar w:fldCharType="separate"/>
      </w:r>
      <w:r w:rsidR="00517F95">
        <w:rPr>
          <w:noProof/>
        </w:rPr>
        <w:t>152</w:t>
      </w:r>
      <w:r>
        <w:fldChar w:fldCharType="end"/>
      </w:r>
      <w:bookmarkEnd w:id="120"/>
      <w:r w:rsidR="00796677">
        <w:t>.</w:t>
      </w:r>
      <w:r w:rsidR="00FA6E17">
        <w:t>  </w:t>
      </w:r>
      <w:r w:rsidR="00F31F1B">
        <w:t xml:space="preserve">Section 76 </w:t>
      </w:r>
      <w:r w:rsidR="00796677">
        <w:t>PACE</w:t>
      </w:r>
      <w:r w:rsidR="00F31F1B">
        <w:t xml:space="preserve"> provides:</w:t>
      </w:r>
    </w:p>
    <w:p w:rsidR="00F31F1B" w:rsidRDefault="00987EE5" w:rsidP="00F31F1B">
      <w:pPr>
        <w:pStyle w:val="ECHRParaQuote"/>
      </w:pPr>
      <w:r>
        <w:t>“</w:t>
      </w:r>
      <w:r w:rsidR="00F31F1B">
        <w:t>(1)</w:t>
      </w:r>
      <w:r w:rsidR="00FA6E17">
        <w:t>  </w:t>
      </w:r>
      <w:r w:rsidR="00F31F1B">
        <w:t>In any proceedings a confession made by an accused person may be given in evidence against him in so far as it is relevant to any matter in issue in the proceedings and is not excluded by the court in pursuance of this section;</w:t>
      </w:r>
    </w:p>
    <w:p w:rsidR="00F31F1B" w:rsidRDefault="00F31F1B" w:rsidP="00F31F1B">
      <w:pPr>
        <w:pStyle w:val="ECHRParaQuote"/>
      </w:pPr>
      <w:r>
        <w:t>(2)</w:t>
      </w:r>
      <w:r w:rsidR="00FA6E17">
        <w:t>  </w:t>
      </w:r>
      <w:r>
        <w:t>If, in any proceedings where the prosecution proposes to give in evidence a confession made by an accused person, it is represented to the court that the confessi</w:t>
      </w:r>
      <w:r w:rsidR="00416B7A">
        <w:t>on was or may have been obtained–</w:t>
      </w:r>
    </w:p>
    <w:p w:rsidR="00F31F1B" w:rsidRDefault="00EE4614" w:rsidP="00F31F1B">
      <w:pPr>
        <w:pStyle w:val="ECHRParaQuote"/>
      </w:pPr>
      <w:r>
        <w:t>(a)</w:t>
      </w:r>
      <w:r w:rsidR="00FA6E17">
        <w:t>  </w:t>
      </w:r>
      <w:r w:rsidR="00F31F1B">
        <w:t>by oppression of the person who made it; or</w:t>
      </w:r>
    </w:p>
    <w:p w:rsidR="00F31F1B" w:rsidRDefault="00EE4614" w:rsidP="00F31F1B">
      <w:pPr>
        <w:pStyle w:val="ECHRParaQuote"/>
      </w:pPr>
      <w:r>
        <w:t>(b)</w:t>
      </w:r>
      <w:r w:rsidR="00FA6E17">
        <w:t>  </w:t>
      </w:r>
      <w:r w:rsidR="00F31F1B">
        <w:t>in consequence of anything said or done which was likely, in the circumstances existing at the time, to render unreliable any confession which might be made by him in consequence thereof</w:t>
      </w:r>
      <w:r w:rsidR="00416B7A">
        <w:t>,</w:t>
      </w:r>
    </w:p>
    <w:p w:rsidR="00F31F1B" w:rsidRDefault="00F31F1B" w:rsidP="00EE4614">
      <w:pPr>
        <w:pStyle w:val="ECHRParaQuote"/>
        <w:ind w:firstLine="0"/>
      </w:pPr>
      <w:r>
        <w:t>the court shall not allow the confession to be given in evidence against him except in so far as the prosecution proves to the court beyond reasonable doubt that the confession (notwithstanding that it may be true) was not obtained as aforesaid.”</w:t>
      </w:r>
    </w:p>
    <w:p w:rsidR="00F31F1B" w:rsidRDefault="0082058A" w:rsidP="00F31F1B">
      <w:pPr>
        <w:pStyle w:val="JuPara"/>
      </w:pPr>
      <w:r>
        <w:rPr>
          <w:noProof/>
        </w:rPr>
        <w:lastRenderedPageBreak/>
        <w:fldChar w:fldCharType="begin"/>
      </w:r>
      <w:r w:rsidR="00796677">
        <w:rPr>
          <w:noProof/>
        </w:rPr>
        <w:instrText xml:space="preserve"> SEQ level0 \*arabic </w:instrText>
      </w:r>
      <w:r>
        <w:rPr>
          <w:noProof/>
        </w:rPr>
        <w:fldChar w:fldCharType="separate"/>
      </w:r>
      <w:r w:rsidR="00517F95">
        <w:rPr>
          <w:noProof/>
        </w:rPr>
        <w:t>153</w:t>
      </w:r>
      <w:r>
        <w:rPr>
          <w:noProof/>
        </w:rPr>
        <w:fldChar w:fldCharType="end"/>
      </w:r>
      <w:r w:rsidR="00796677">
        <w:rPr>
          <w:noProof/>
        </w:rPr>
        <w:t>.</w:t>
      </w:r>
      <w:r w:rsidR="00FA6E17">
        <w:rPr>
          <w:noProof/>
        </w:rPr>
        <w:t>  </w:t>
      </w:r>
      <w:r w:rsidR="00F31F1B">
        <w:t>Under sec</w:t>
      </w:r>
      <w:r w:rsidR="00D6031E">
        <w:t>tion 82</w:t>
      </w:r>
      <w:r w:rsidR="00F31F1B">
        <w:t xml:space="preserve">(1) </w:t>
      </w:r>
      <w:r w:rsidR="00D6031E">
        <w:t>PACE</w:t>
      </w:r>
      <w:r w:rsidR="00F31F1B">
        <w:t xml:space="preserve"> a “confession” includes any statement “wholly or partly adverse to the person who made it, whether made to a person in authority or not and whether made in words or otherwise”.</w:t>
      </w:r>
    </w:p>
    <w:bookmarkStart w:id="121" w:name="PACEsection78"/>
    <w:p w:rsidR="00F31F1B" w:rsidRDefault="0082058A" w:rsidP="00F31F1B">
      <w:pPr>
        <w:pStyle w:val="JuPara"/>
      </w:pPr>
      <w:r>
        <w:rPr>
          <w:noProof/>
        </w:rPr>
        <w:fldChar w:fldCharType="begin"/>
      </w:r>
      <w:r w:rsidR="00796677">
        <w:rPr>
          <w:noProof/>
        </w:rPr>
        <w:instrText xml:space="preserve"> SEQ level0 \*arabic </w:instrText>
      </w:r>
      <w:r>
        <w:rPr>
          <w:noProof/>
        </w:rPr>
        <w:fldChar w:fldCharType="separate"/>
      </w:r>
      <w:r w:rsidR="00517F95">
        <w:rPr>
          <w:noProof/>
        </w:rPr>
        <w:t>154</w:t>
      </w:r>
      <w:r>
        <w:rPr>
          <w:noProof/>
        </w:rPr>
        <w:fldChar w:fldCharType="end"/>
      </w:r>
      <w:bookmarkEnd w:id="121"/>
      <w:r w:rsidR="00796677">
        <w:rPr>
          <w:noProof/>
        </w:rPr>
        <w:t>.</w:t>
      </w:r>
      <w:r w:rsidR="00FA6E17">
        <w:rPr>
          <w:noProof/>
        </w:rPr>
        <w:t>  </w:t>
      </w:r>
      <w:r w:rsidR="00F31F1B">
        <w:t>Section 78</w:t>
      </w:r>
      <w:r w:rsidR="00EE4614">
        <w:t>(1)</w:t>
      </w:r>
      <w:r w:rsidR="00F31F1B">
        <w:t xml:space="preserve"> </w:t>
      </w:r>
      <w:r w:rsidR="00D6031E">
        <w:t>PACE</w:t>
      </w:r>
      <w:r w:rsidR="00F31F1B">
        <w:t xml:space="preserve"> provides:</w:t>
      </w:r>
    </w:p>
    <w:p w:rsidR="00F31F1B" w:rsidRDefault="00F31F1B" w:rsidP="00F31F1B">
      <w:pPr>
        <w:pStyle w:val="ECHRParaQuote"/>
      </w:pPr>
      <w:r>
        <w:t>“In any proceedings the court may refuse to allow evidence on which the prosecution proposes to rely to be given, if it appears to the court that, having regard to all the circumstances, including the circumstances in which the evidence was obtained, the admission of the evidence would have such an adverse effect on the fairness of the proceedings that the court ought not to admit it."</w:t>
      </w:r>
    </w:p>
    <w:p w:rsidR="00F71A6A" w:rsidRPr="00555409" w:rsidRDefault="00F71A6A" w:rsidP="008824B9">
      <w:pPr>
        <w:pStyle w:val="ECHRTitle1"/>
      </w:pPr>
      <w:r w:rsidRPr="00555409">
        <w:t>THE LAW</w:t>
      </w:r>
    </w:p>
    <w:p w:rsidR="00555409" w:rsidRPr="00147E34" w:rsidRDefault="00555409" w:rsidP="00147E34">
      <w:pPr>
        <w:pStyle w:val="ECHRHeading1"/>
      </w:pPr>
      <w:r w:rsidRPr="00147E34">
        <w:t>I.</w:t>
      </w:r>
      <w:r w:rsidR="00FA6E17">
        <w:t>  </w:t>
      </w:r>
      <w:r w:rsidRPr="00147E34">
        <w:t>JOINDER OF THE APPLICATIONS</w:t>
      </w:r>
    </w:p>
    <w:p w:rsidR="00C4750E" w:rsidRDefault="00555E80" w:rsidP="00555409">
      <w:pPr>
        <w:pStyle w:val="JuPara"/>
      </w:pPr>
      <w:r>
        <w:fldChar w:fldCharType="begin"/>
      </w:r>
      <w:r>
        <w:instrText xml:space="preserve"> SEQ level0 \*arabic </w:instrText>
      </w:r>
      <w:r>
        <w:fldChar w:fldCharType="separate"/>
      </w:r>
      <w:r w:rsidR="00517F95">
        <w:rPr>
          <w:noProof/>
        </w:rPr>
        <w:t>155</w:t>
      </w:r>
      <w:r>
        <w:rPr>
          <w:noProof/>
        </w:rPr>
        <w:fldChar w:fldCharType="end"/>
      </w:r>
      <w:r w:rsidR="00555409">
        <w:t>.</w:t>
      </w:r>
      <w:r w:rsidR="00FA6E17">
        <w:t>  </w:t>
      </w:r>
      <w:r w:rsidR="00A87953">
        <w:t>The applications lodged by the first three applicants were joined in the Court</w:t>
      </w:r>
      <w:r w:rsidR="005E7B7A">
        <w:t>’</w:t>
      </w:r>
      <w:r w:rsidR="00A87953">
        <w:t>s partial decision in their case of 22 May 20</w:t>
      </w:r>
      <w:r w:rsidR="00416B7A">
        <w:t>1</w:t>
      </w:r>
      <w:r w:rsidR="00A87953">
        <w:t xml:space="preserve">2 (see paragraph </w:t>
      </w:r>
      <w:r w:rsidR="00064F61">
        <w:t>7</w:t>
      </w:r>
      <w:r w:rsidR="00A87953">
        <w:t xml:space="preserve"> </w:t>
      </w:r>
      <w:r w:rsidR="00064F61">
        <w:t>above</w:t>
      </w:r>
      <w:r w:rsidR="006D0455">
        <w:t>).</w:t>
      </w:r>
    </w:p>
    <w:p w:rsidR="00555409" w:rsidRPr="00555409" w:rsidRDefault="00555E80" w:rsidP="00555409">
      <w:pPr>
        <w:pStyle w:val="JuPara"/>
      </w:pPr>
      <w:r>
        <w:fldChar w:fldCharType="begin"/>
      </w:r>
      <w:r>
        <w:instrText xml:space="preserve"> SEQ level0 \*arabic </w:instrText>
      </w:r>
      <w:r>
        <w:fldChar w:fldCharType="separate"/>
      </w:r>
      <w:r w:rsidR="00517F95">
        <w:rPr>
          <w:noProof/>
        </w:rPr>
        <w:t>156</w:t>
      </w:r>
      <w:r>
        <w:rPr>
          <w:noProof/>
        </w:rPr>
        <w:fldChar w:fldCharType="end"/>
      </w:r>
      <w:r w:rsidR="00C4750E">
        <w:t>.  </w:t>
      </w:r>
      <w:r w:rsidR="00A87953">
        <w:t xml:space="preserve">Given its similar </w:t>
      </w:r>
      <w:r w:rsidR="00A87953">
        <w:rPr>
          <w:rStyle w:val="sb8d990e2"/>
        </w:rPr>
        <w:t>factual and legal background, the Court decides that the fourth applicant</w:t>
      </w:r>
      <w:r w:rsidR="005E7B7A">
        <w:rPr>
          <w:rStyle w:val="sb8d990e2"/>
        </w:rPr>
        <w:t>’</w:t>
      </w:r>
      <w:r w:rsidR="00A87953">
        <w:rPr>
          <w:rStyle w:val="sb8d990e2"/>
        </w:rPr>
        <w:t xml:space="preserve">s </w:t>
      </w:r>
      <w:r w:rsidR="005F4E83">
        <w:rPr>
          <w:rStyle w:val="sb8d990e2"/>
        </w:rPr>
        <w:t xml:space="preserve">case </w:t>
      </w:r>
      <w:r w:rsidR="00A87953">
        <w:rPr>
          <w:rStyle w:val="sb8d990e2"/>
        </w:rPr>
        <w:t>should be joined</w:t>
      </w:r>
      <w:r w:rsidR="00C4750E">
        <w:rPr>
          <w:rStyle w:val="sb8d990e2"/>
        </w:rPr>
        <w:t xml:space="preserve"> to </w:t>
      </w:r>
      <w:r w:rsidR="005F4E83">
        <w:rPr>
          <w:rStyle w:val="sb8d990e2"/>
        </w:rPr>
        <w:t xml:space="preserve">that of </w:t>
      </w:r>
      <w:r w:rsidR="00C4750E">
        <w:rPr>
          <w:rStyle w:val="sb8d990e2"/>
        </w:rPr>
        <w:t>the first three applicants</w:t>
      </w:r>
      <w:r w:rsidR="005E7B7A">
        <w:rPr>
          <w:rStyle w:val="sb8d990e2"/>
        </w:rPr>
        <w:t>’</w:t>
      </w:r>
      <w:r w:rsidR="00C4750E">
        <w:rPr>
          <w:rStyle w:val="sb8d990e2"/>
        </w:rPr>
        <w:t xml:space="preserve"> </w:t>
      </w:r>
      <w:r w:rsidR="00A87953">
        <w:rPr>
          <w:rStyle w:val="sb8d990e2"/>
        </w:rPr>
        <w:t>pursuant to Rule 42 § 1 of the Rules of Court.</w:t>
      </w:r>
    </w:p>
    <w:p w:rsidR="00F71A6A" w:rsidRPr="00555409" w:rsidRDefault="00555409">
      <w:pPr>
        <w:pStyle w:val="ECHRHeading1"/>
      </w:pPr>
      <w:r>
        <w:t>I</w:t>
      </w:r>
      <w:r w:rsidR="00F71A6A" w:rsidRPr="00555409">
        <w:t>I.</w:t>
      </w:r>
      <w:r w:rsidR="00560D3E">
        <w:t>  </w:t>
      </w:r>
      <w:r w:rsidR="00147E34">
        <w:rPr>
          <w:rStyle w:val="sb8d990e2"/>
        </w:rPr>
        <w:t>ALLEGED VIOLATION OF ARTICLE 6 §§ 1 AND 3 (c) OF THE CONVENTION</w:t>
      </w:r>
    </w:p>
    <w:p w:rsidR="00F71A6A" w:rsidRPr="00555409" w:rsidRDefault="00555E80" w:rsidP="002F4BCF">
      <w:pPr>
        <w:pStyle w:val="JuPara"/>
      </w:pPr>
      <w:r>
        <w:fldChar w:fldCharType="begin"/>
      </w:r>
      <w:r>
        <w:instrText xml:space="preserve"> SEQ level0 \*arabic </w:instrText>
      </w:r>
      <w:r>
        <w:fldChar w:fldCharType="separate"/>
      </w:r>
      <w:r w:rsidR="00517F95">
        <w:rPr>
          <w:noProof/>
        </w:rPr>
        <w:t>157</w:t>
      </w:r>
      <w:r>
        <w:rPr>
          <w:noProof/>
        </w:rPr>
        <w:fldChar w:fldCharType="end"/>
      </w:r>
      <w:r w:rsidR="00F71A6A" w:rsidRPr="00555409">
        <w:t>.</w:t>
      </w:r>
      <w:r w:rsidR="00A106C5">
        <w:t>  </w:t>
      </w:r>
      <w:r w:rsidR="007106BF">
        <w:t>All four</w:t>
      </w:r>
      <w:r w:rsidR="00F71A6A" w:rsidRPr="00555409">
        <w:t xml:space="preserve"> </w:t>
      </w:r>
      <w:r w:rsidR="005F4753" w:rsidRPr="00555409">
        <w:t>applicant</w:t>
      </w:r>
      <w:r w:rsidR="00555409" w:rsidRPr="00555409">
        <w:t>s</w:t>
      </w:r>
      <w:r w:rsidR="00F71A6A" w:rsidRPr="00555409">
        <w:t xml:space="preserve"> complained that</w:t>
      </w:r>
      <w:r w:rsidR="00C4126D">
        <w:t xml:space="preserve"> their lack of access to </w:t>
      </w:r>
      <w:r w:rsidR="005C0BC2">
        <w:t xml:space="preserve">lawyers </w:t>
      </w:r>
      <w:r w:rsidR="00ED20E3">
        <w:t>during their initial police questioning</w:t>
      </w:r>
      <w:r w:rsidR="00C4126D">
        <w:t xml:space="preserve"> and the </w:t>
      </w:r>
      <w:r w:rsidR="00ED20E3">
        <w:t>admission</w:t>
      </w:r>
      <w:r w:rsidR="00C4126D">
        <w:t xml:space="preserve"> of the</w:t>
      </w:r>
      <w:r w:rsidR="00ED20E3">
        <w:t xml:space="preserve"> statements made in the</w:t>
      </w:r>
      <w:r w:rsidR="00C4126D">
        <w:t xml:space="preserve"> police interviews at trial was in violation of their right to a fair trial under </w:t>
      </w:r>
      <w:r w:rsidR="00C4126D" w:rsidRPr="00C4126D">
        <w:t>Article 6 §§ 1 and 3 (</w:t>
      </w:r>
      <w:r w:rsidR="00D12DC0">
        <w:t>c</w:t>
      </w:r>
      <w:r w:rsidR="00C4126D" w:rsidRPr="00C4126D">
        <w:t>) of the Convention, which reads as follows:</w:t>
      </w:r>
    </w:p>
    <w:p w:rsidR="00147E34" w:rsidRDefault="00147E34">
      <w:pPr>
        <w:pStyle w:val="ECHRParaQuote"/>
      </w:pPr>
      <w:r>
        <w:t>“1.</w:t>
      </w:r>
      <w:r w:rsidR="00A106C5">
        <w:t>  </w:t>
      </w:r>
      <w:r>
        <w:t xml:space="preserve">In the determination of his civil rights and obligations or of any criminal charge against him, everyone is entitled to a fair and public hearing within a reasonable time by an independent and impartial tribunal established by law. </w:t>
      </w:r>
      <w:r w:rsidR="00C4126D">
        <w:t>..</w:t>
      </w:r>
      <w:r>
        <w:t>.</w:t>
      </w:r>
    </w:p>
    <w:p w:rsidR="00147E34" w:rsidRDefault="00147E34">
      <w:pPr>
        <w:pStyle w:val="ECHRParaQuote"/>
      </w:pPr>
      <w:r>
        <w:t>3.</w:t>
      </w:r>
      <w:r w:rsidR="00A106C5">
        <w:t>  </w:t>
      </w:r>
      <w:r>
        <w:t>Everyone charged with a criminal offence has the following minimum rights:</w:t>
      </w:r>
    </w:p>
    <w:p w:rsidR="00147E34" w:rsidRDefault="00C91245" w:rsidP="00C4126D">
      <w:pPr>
        <w:pStyle w:val="ECHRParaQuote"/>
      </w:pPr>
      <w:r>
        <w:t>...</w:t>
      </w:r>
    </w:p>
    <w:p w:rsidR="005B16A8" w:rsidRDefault="00147E34" w:rsidP="00C4126D">
      <w:pPr>
        <w:pStyle w:val="ECHRParaQuote"/>
      </w:pPr>
      <w:r>
        <w:t>(c)</w:t>
      </w:r>
      <w:r w:rsidR="00A106C5">
        <w:t>  </w:t>
      </w:r>
      <w:r>
        <w:t>to defend himself in person or through legal assistance of his own choosing or, if he has not sufficient means to pay for legal assistance, to be given it free when the interests of justice so require</w:t>
      </w:r>
      <w:r w:rsidR="00C4126D">
        <w:t>.”</w:t>
      </w:r>
    </w:p>
    <w:p w:rsidR="00F71A6A" w:rsidRPr="00555409" w:rsidRDefault="00555E80" w:rsidP="002F4BCF">
      <w:pPr>
        <w:pStyle w:val="JuPara"/>
      </w:pPr>
      <w:r>
        <w:fldChar w:fldCharType="begin"/>
      </w:r>
      <w:r>
        <w:instrText xml:space="preserve"> SEQ level0 \*arabic </w:instrText>
      </w:r>
      <w:r>
        <w:fldChar w:fldCharType="separate"/>
      </w:r>
      <w:r w:rsidR="00517F95">
        <w:rPr>
          <w:noProof/>
        </w:rPr>
        <w:t>158</w:t>
      </w:r>
      <w:r>
        <w:rPr>
          <w:noProof/>
        </w:rPr>
        <w:fldChar w:fldCharType="end"/>
      </w:r>
      <w:r w:rsidR="00C4126D">
        <w:t>.</w:t>
      </w:r>
      <w:r w:rsidR="00A106C5">
        <w:t>  </w:t>
      </w:r>
      <w:r w:rsidR="00F71A6A" w:rsidRPr="00555409">
        <w:t>The Government contested that argument.</w:t>
      </w:r>
    </w:p>
    <w:p w:rsidR="00F71A6A" w:rsidRPr="00555409" w:rsidRDefault="00F71A6A" w:rsidP="008824B9">
      <w:pPr>
        <w:pStyle w:val="ECHRHeading2"/>
        <w:outlineLvl w:val="0"/>
      </w:pPr>
      <w:r w:rsidRPr="00555409">
        <w:lastRenderedPageBreak/>
        <w:t>A.</w:t>
      </w:r>
      <w:r w:rsidR="00A106C5">
        <w:t>  </w:t>
      </w:r>
      <w:r w:rsidRPr="00555409">
        <w:t>Admissibility</w:t>
      </w:r>
      <w:r w:rsidR="00C4126D">
        <w:t xml:space="preserve"> of the four applications</w:t>
      </w:r>
    </w:p>
    <w:p w:rsidR="00F71A6A" w:rsidRDefault="00555E80" w:rsidP="002F4BCF">
      <w:pPr>
        <w:pStyle w:val="JuPara"/>
      </w:pPr>
      <w:r>
        <w:fldChar w:fldCharType="begin"/>
      </w:r>
      <w:r>
        <w:instrText xml:space="preserve"> SEQ level0 \*arabic </w:instrText>
      </w:r>
      <w:r>
        <w:fldChar w:fldCharType="separate"/>
      </w:r>
      <w:r w:rsidR="00517F95">
        <w:rPr>
          <w:noProof/>
        </w:rPr>
        <w:t>159</w:t>
      </w:r>
      <w:r>
        <w:rPr>
          <w:noProof/>
        </w:rPr>
        <w:fldChar w:fldCharType="end"/>
      </w:r>
      <w:r w:rsidR="00F71A6A" w:rsidRPr="00555409">
        <w:t>.</w:t>
      </w:r>
      <w:r w:rsidR="00A106C5">
        <w:t>  </w:t>
      </w:r>
      <w:r w:rsidR="00F71A6A" w:rsidRPr="00555409">
        <w:t xml:space="preserve">The Court notes that </w:t>
      </w:r>
      <w:r w:rsidR="00C4126D">
        <w:t>the</w:t>
      </w:r>
      <w:r w:rsidR="00D44EA3" w:rsidRPr="00555409">
        <w:t xml:space="preserve"> complaint</w:t>
      </w:r>
      <w:r w:rsidR="00C4126D">
        <w:t>s</w:t>
      </w:r>
      <w:r w:rsidR="00D44EA3" w:rsidRPr="00555409">
        <w:t xml:space="preserve"> </w:t>
      </w:r>
      <w:r w:rsidR="00965783">
        <w:t xml:space="preserve">made in this respect by </w:t>
      </w:r>
      <w:r w:rsidR="00ED20E3">
        <w:t>the first three applicants</w:t>
      </w:r>
      <w:r w:rsidR="00C4126D">
        <w:t xml:space="preserve"> </w:t>
      </w:r>
      <w:r w:rsidR="00555409" w:rsidRPr="00555409">
        <w:t>are</w:t>
      </w:r>
      <w:r w:rsidR="00F71A6A" w:rsidRPr="00555409">
        <w:t xml:space="preserve"> not manifestly ill-founde</w:t>
      </w:r>
      <w:r w:rsidR="00B34516">
        <w:t>d within the meaning of Article </w:t>
      </w:r>
      <w:r w:rsidR="00C63E30" w:rsidRPr="00555409">
        <w:t>35 § 3 (a)</w:t>
      </w:r>
      <w:r w:rsidR="00F71A6A" w:rsidRPr="00555409">
        <w:t xml:space="preserve"> of the Convention</w:t>
      </w:r>
      <w:r w:rsidR="00C4126D">
        <w:t xml:space="preserve"> and are not </w:t>
      </w:r>
      <w:r w:rsidR="00F71A6A" w:rsidRPr="00555409">
        <w:t xml:space="preserve">inadmissible on any other grounds. </w:t>
      </w:r>
      <w:r w:rsidR="00C4126D">
        <w:t>They</w:t>
      </w:r>
      <w:r w:rsidR="00F71A6A" w:rsidRPr="00555409">
        <w:t xml:space="preserve"> must therefore be declared admissible.</w:t>
      </w:r>
    </w:p>
    <w:p w:rsidR="00560D3E" w:rsidRDefault="00555E80" w:rsidP="002F4BCF">
      <w:pPr>
        <w:pStyle w:val="JuPara"/>
      </w:pPr>
      <w:r>
        <w:fldChar w:fldCharType="begin"/>
      </w:r>
      <w:r>
        <w:instrText xml:space="preserve"> SEQ level0 \*arabic </w:instrText>
      </w:r>
      <w:r>
        <w:fldChar w:fldCharType="separate"/>
      </w:r>
      <w:r w:rsidR="00517F95">
        <w:rPr>
          <w:noProof/>
        </w:rPr>
        <w:t>160</w:t>
      </w:r>
      <w:r>
        <w:rPr>
          <w:noProof/>
        </w:rPr>
        <w:fldChar w:fldCharType="end"/>
      </w:r>
      <w:r w:rsidR="00C4126D">
        <w:t>.</w:t>
      </w:r>
      <w:r w:rsidR="00A106C5">
        <w:t>  </w:t>
      </w:r>
      <w:r w:rsidR="00C4126D">
        <w:t xml:space="preserve">The same conclusions apply in respect of the application brought by </w:t>
      </w:r>
      <w:r w:rsidR="00ED20E3">
        <w:t>the fourth applicant</w:t>
      </w:r>
      <w:r w:rsidR="00C4126D">
        <w:t>. It too must therefore declared admissible</w:t>
      </w:r>
    </w:p>
    <w:p w:rsidR="00F71A6A" w:rsidRDefault="00F71A6A" w:rsidP="008824B9">
      <w:pPr>
        <w:pStyle w:val="ECHRHeading2"/>
        <w:outlineLvl w:val="0"/>
      </w:pPr>
      <w:r w:rsidRPr="00555409">
        <w:t>B.</w:t>
      </w:r>
      <w:r w:rsidR="00A106C5">
        <w:t>  </w:t>
      </w:r>
      <w:r w:rsidRPr="00555409">
        <w:t>Merits</w:t>
      </w:r>
    </w:p>
    <w:p w:rsidR="007F0F55" w:rsidRDefault="007F0F55" w:rsidP="007F0F55">
      <w:pPr>
        <w:pStyle w:val="ECHRHeading3"/>
      </w:pPr>
      <w:r>
        <w:t>1.</w:t>
      </w:r>
      <w:r w:rsidR="00A106C5">
        <w:t>  </w:t>
      </w:r>
      <w:r w:rsidR="00214D20">
        <w:t xml:space="preserve">The </w:t>
      </w:r>
      <w:r w:rsidR="00B17A52">
        <w:t>parties</w:t>
      </w:r>
      <w:r w:rsidR="005E7B7A">
        <w:t>’</w:t>
      </w:r>
      <w:r w:rsidR="00B17A52">
        <w:t xml:space="preserve"> observations concerning the </w:t>
      </w:r>
      <w:r w:rsidR="00B34516">
        <w:t>first three applicants (Mr </w:t>
      </w:r>
      <w:r w:rsidR="00214D20">
        <w:t>Ibrahim, Mr Mohammed and Mr Omar)</w:t>
      </w:r>
    </w:p>
    <w:p w:rsidR="007F0F55" w:rsidRDefault="00D12DC0" w:rsidP="007F0F55">
      <w:pPr>
        <w:pStyle w:val="ECHRHeading4"/>
      </w:pPr>
      <w:r>
        <w:t>(</w:t>
      </w:r>
      <w:r w:rsidR="007F0F55">
        <w:t>a</w:t>
      </w:r>
      <w:r>
        <w:t>)</w:t>
      </w:r>
      <w:r w:rsidR="00A106C5">
        <w:t>  </w:t>
      </w:r>
      <w:r w:rsidR="00214D20">
        <w:t>The Government</w:t>
      </w:r>
      <w:r w:rsidR="005E7B7A">
        <w:t>’</w:t>
      </w:r>
      <w:r w:rsidR="00214D20">
        <w:t>s submissions</w:t>
      </w:r>
    </w:p>
    <w:p w:rsidR="003477DC" w:rsidRDefault="00555E80" w:rsidP="007F0F55">
      <w:pPr>
        <w:pStyle w:val="JuPara"/>
      </w:pPr>
      <w:r>
        <w:fldChar w:fldCharType="begin"/>
      </w:r>
      <w:r>
        <w:instrText xml:space="preserve"> SEQ level0 \*arabic </w:instrText>
      </w:r>
      <w:r>
        <w:fldChar w:fldCharType="separate"/>
      </w:r>
      <w:r w:rsidR="00517F95">
        <w:rPr>
          <w:noProof/>
        </w:rPr>
        <w:t>161</w:t>
      </w:r>
      <w:r>
        <w:rPr>
          <w:noProof/>
        </w:rPr>
        <w:fldChar w:fldCharType="end"/>
      </w:r>
      <w:r w:rsidR="007F0F55">
        <w:t>.</w:t>
      </w:r>
      <w:r w:rsidR="00A106C5">
        <w:t>  </w:t>
      </w:r>
      <w:r w:rsidR="007F0F55">
        <w:t xml:space="preserve">The </w:t>
      </w:r>
      <w:r w:rsidR="00D12DC0">
        <w:t xml:space="preserve">Government argued that the </w:t>
      </w:r>
      <w:r w:rsidR="003477DC">
        <w:t xml:space="preserve">first three </w:t>
      </w:r>
      <w:r w:rsidR="007F0F55">
        <w:t xml:space="preserve">applicants had </w:t>
      </w:r>
      <w:r w:rsidR="00D12DC0">
        <w:t xml:space="preserve">had </w:t>
      </w:r>
      <w:r w:rsidR="007F0F55">
        <w:t>a fair t</w:t>
      </w:r>
      <w:r w:rsidR="008E6ABE">
        <w:t>rial in accordance with Article </w:t>
      </w:r>
      <w:r w:rsidR="007F0F55">
        <w:t xml:space="preserve">6. </w:t>
      </w:r>
      <w:r w:rsidR="008E6ABE">
        <w:t>First, t</w:t>
      </w:r>
      <w:r w:rsidR="007F0F55">
        <w:t xml:space="preserve">here had </w:t>
      </w:r>
      <w:r w:rsidR="00D81DBC">
        <w:t xml:space="preserve">been </w:t>
      </w:r>
      <w:r w:rsidR="007F0F55">
        <w:t xml:space="preserve">compelling reasons in their cases </w:t>
      </w:r>
      <w:r w:rsidR="00D81DBC">
        <w:t xml:space="preserve">– </w:t>
      </w:r>
      <w:r w:rsidR="007F0F55">
        <w:t xml:space="preserve">within the meaning of that term in </w:t>
      </w:r>
      <w:r w:rsidR="007F0F55" w:rsidRPr="007F0F55">
        <w:rPr>
          <w:i/>
          <w:lang w:eastAsia="en-US"/>
        </w:rPr>
        <w:t xml:space="preserve">Salduz v. Turkey </w:t>
      </w:r>
      <w:r w:rsidR="007F0F55" w:rsidRPr="007F0F55">
        <w:rPr>
          <w:lang w:eastAsia="en-US"/>
        </w:rPr>
        <w:t>[GC], no. 36391/02</w:t>
      </w:r>
      <w:r w:rsidR="007F0F55">
        <w:rPr>
          <w:lang w:eastAsia="en-US"/>
        </w:rPr>
        <w:t xml:space="preserve">, </w:t>
      </w:r>
      <w:r w:rsidR="007F0F55" w:rsidRPr="007F0F55">
        <w:rPr>
          <w:lang w:eastAsia="en-US"/>
        </w:rPr>
        <w:t>ECHR 2008</w:t>
      </w:r>
      <w:r w:rsidR="00D81DBC">
        <w:t xml:space="preserve"> – </w:t>
      </w:r>
      <w:r w:rsidR="007F0F55">
        <w:t xml:space="preserve">to justify the restrictions on their </w:t>
      </w:r>
      <w:r w:rsidR="00D81DBC">
        <w:t>right of access to a solicitor</w:t>
      </w:r>
      <w:r w:rsidR="008E6ABE">
        <w:t xml:space="preserve">. Second, </w:t>
      </w:r>
      <w:r w:rsidR="00D81DBC">
        <w:t>their Article</w:t>
      </w:r>
      <w:r w:rsidR="006D0455">
        <w:t xml:space="preserve"> </w:t>
      </w:r>
      <w:r w:rsidR="00D81DBC">
        <w:t xml:space="preserve">6 rights had not been </w:t>
      </w:r>
      <w:r w:rsidR="008E6ABE">
        <w:t>irretrievably</w:t>
      </w:r>
      <w:r w:rsidR="00D81DBC">
        <w:t xml:space="preserve"> prejudiced</w:t>
      </w:r>
      <w:r w:rsidR="008E6ABE">
        <w:t xml:space="preserve"> as a result of these restrictions</w:t>
      </w:r>
      <w:r w:rsidR="006D0455">
        <w:t>.</w:t>
      </w:r>
    </w:p>
    <w:bookmarkStart w:id="122" w:name="Govtsubmissionsquestioningestcriminality"/>
    <w:p w:rsidR="007F0F55" w:rsidRDefault="0082058A" w:rsidP="007F0F55">
      <w:pPr>
        <w:pStyle w:val="JuPara"/>
      </w:pPr>
      <w:r>
        <w:fldChar w:fldCharType="begin"/>
      </w:r>
      <w:r w:rsidR="003477DC">
        <w:instrText xml:space="preserve"> SEQ level0 \*arabic </w:instrText>
      </w:r>
      <w:r>
        <w:fldChar w:fldCharType="separate"/>
      </w:r>
      <w:r w:rsidR="00517F95">
        <w:rPr>
          <w:noProof/>
        </w:rPr>
        <w:t>162</w:t>
      </w:r>
      <w:r>
        <w:fldChar w:fldCharType="end"/>
      </w:r>
      <w:bookmarkEnd w:id="122"/>
      <w:r w:rsidR="003477DC">
        <w:t>.</w:t>
      </w:r>
      <w:r w:rsidR="00A106C5">
        <w:t>  </w:t>
      </w:r>
      <w:r w:rsidR="00A01BCD">
        <w:t xml:space="preserve">Developing their </w:t>
      </w:r>
      <w:r w:rsidR="00D81DBC">
        <w:t>submission</w:t>
      </w:r>
      <w:r w:rsidR="007F0F55">
        <w:t xml:space="preserve"> </w:t>
      </w:r>
      <w:r w:rsidR="00D12DC0">
        <w:t>on</w:t>
      </w:r>
      <w:r w:rsidR="007F0F55">
        <w:t xml:space="preserve"> the </w:t>
      </w:r>
      <w:r w:rsidR="00A01BCD">
        <w:t>existence</w:t>
      </w:r>
      <w:r w:rsidR="00D81DBC">
        <w:t xml:space="preserve"> of</w:t>
      </w:r>
      <w:r w:rsidR="00A01BCD">
        <w:t xml:space="preserve"> </w:t>
      </w:r>
      <w:r w:rsidR="007F0F55">
        <w:t>compelling reasons, the Government drew attention to the following:</w:t>
      </w:r>
    </w:p>
    <w:p w:rsidR="007F0F55" w:rsidRDefault="00D81DBC" w:rsidP="007F0F55">
      <w:pPr>
        <w:pStyle w:val="JuPara"/>
      </w:pPr>
      <w:r>
        <w:t>- T</w:t>
      </w:r>
      <w:r w:rsidR="007F0F55">
        <w:t xml:space="preserve">he events of 21 July came two weeks after the bombings of 7 July which had killed over </w:t>
      </w:r>
      <w:r w:rsidR="00D12DC0">
        <w:t>fifty</w:t>
      </w:r>
      <w:r w:rsidR="007F0F55">
        <w:t xml:space="preserve"> people. That the attacks of 21 July had not resulted in further mass murder was the result of </w:t>
      </w:r>
      <w:r w:rsidR="00177FB2">
        <w:t xml:space="preserve">good </w:t>
      </w:r>
      <w:r w:rsidR="007F0F55">
        <w:t xml:space="preserve">fortune that the bombs had been defective. The investigating authorities had been under an overwhelming imperative to detain those responsible and to protect the public from further attacks. </w:t>
      </w:r>
      <w:r w:rsidR="00D12DC0">
        <w:t>There was a pressing need for them</w:t>
      </w:r>
      <w:r w:rsidR="007F0F55">
        <w:t xml:space="preserve"> to establish the identities of all those responsible, their whereabouts, whether any further devices were at large and whether any further attacks were planned.</w:t>
      </w:r>
    </w:p>
    <w:p w:rsidR="007F0F55" w:rsidRDefault="00D81DBC" w:rsidP="007F0F55">
      <w:pPr>
        <w:pStyle w:val="JuPara"/>
      </w:pPr>
      <w:r>
        <w:t>- B</w:t>
      </w:r>
      <w:r w:rsidR="007F0F55">
        <w:t>y the time of their arrest, the applicants had been connect</w:t>
      </w:r>
      <w:r w:rsidR="00177FB2">
        <w:t>ed</w:t>
      </w:r>
      <w:r w:rsidR="007F0F55">
        <w:t xml:space="preserve"> to the events of 21 July and could be expect</w:t>
      </w:r>
      <w:r w:rsidR="003E19C4">
        <w:t>ed to have critical information.</w:t>
      </w:r>
    </w:p>
    <w:p w:rsidR="007F0F55" w:rsidRDefault="00D81DBC" w:rsidP="007F0F55">
      <w:pPr>
        <w:pStyle w:val="JuPara"/>
      </w:pPr>
      <w:r>
        <w:t>- T</w:t>
      </w:r>
      <w:r w:rsidR="007F0F55">
        <w:t>he restrictions on the</w:t>
      </w:r>
      <w:r w:rsidR="000B6661">
        <w:t>ir</w:t>
      </w:r>
      <w:r w:rsidR="007F0F55">
        <w:t xml:space="preserve"> right of access to solicitors were </w:t>
      </w:r>
      <w:r w:rsidR="00D12DC0">
        <w:t>authorised</w:t>
      </w:r>
      <w:r w:rsidR="007F0F55">
        <w:t xml:space="preserve"> by senior police officers.</w:t>
      </w:r>
      <w:r w:rsidR="00BB1775">
        <w:t xml:space="preserve"> </w:t>
      </w:r>
      <w:r w:rsidR="000B6661">
        <w:t>The officers</w:t>
      </w:r>
      <w:r w:rsidR="005E7B7A">
        <w:t>’</w:t>
      </w:r>
      <w:r w:rsidR="007F0F55">
        <w:t xml:space="preserve"> decisions had been conveyed to all three applicants. Each of the officers had reasonable grounds for believing that granting access to a solicitor would </w:t>
      </w:r>
      <w:r>
        <w:t xml:space="preserve">have </w:t>
      </w:r>
      <w:r w:rsidR="007F0F55">
        <w:t>involved</w:t>
      </w:r>
      <w:r w:rsidR="000B6661">
        <w:t xml:space="preserve"> an</w:t>
      </w:r>
      <w:r w:rsidR="007F0F55">
        <w:t xml:space="preserve"> immediate risk to the public and would</w:t>
      </w:r>
      <w:r w:rsidR="000B6661">
        <w:t xml:space="preserve"> have</w:t>
      </w:r>
      <w:r w:rsidR="007F0F55">
        <w:t xml:space="preserve"> alert</w:t>
      </w:r>
      <w:r w:rsidR="000B6661">
        <w:t>ed</w:t>
      </w:r>
      <w:r w:rsidR="006D0455">
        <w:t xml:space="preserve"> other terrorist suspects.</w:t>
      </w:r>
    </w:p>
    <w:p w:rsidR="000B6661" w:rsidRDefault="00D81DBC" w:rsidP="00D81DBC">
      <w:pPr>
        <w:pStyle w:val="JuPara"/>
      </w:pPr>
      <w:r>
        <w:t>- T</w:t>
      </w:r>
      <w:r w:rsidR="007F0F55">
        <w:t>he safety interview questioning was limited in scope and time</w:t>
      </w:r>
      <w:r w:rsidR="000B6661">
        <w:t>.</w:t>
      </w:r>
    </w:p>
    <w:p w:rsidR="00D81DBC" w:rsidRDefault="000B6661" w:rsidP="00D81DBC">
      <w:pPr>
        <w:pStyle w:val="JuPara"/>
        <w:rPr>
          <w:lang w:eastAsia="en-US"/>
        </w:rPr>
      </w:pPr>
      <w:r>
        <w:t>- In advance of</w:t>
      </w:r>
      <w:r w:rsidR="007F0F55">
        <w:t xml:space="preserve"> their </w:t>
      </w:r>
      <w:r w:rsidR="00416B7A">
        <w:t>subsequent</w:t>
      </w:r>
      <w:r>
        <w:t xml:space="preserve"> full</w:t>
      </w:r>
      <w:r w:rsidR="007F0F55">
        <w:t xml:space="preserve"> police interviews </w:t>
      </w:r>
      <w:r>
        <w:t xml:space="preserve">the applicants </w:t>
      </w:r>
      <w:r w:rsidR="002C4097">
        <w:t>had been</w:t>
      </w:r>
      <w:r w:rsidR="007F0F55">
        <w:t xml:space="preserve"> given access to solicitors.</w:t>
      </w:r>
      <w:r w:rsidR="00BB1775">
        <w:t xml:space="preserve"> </w:t>
      </w:r>
      <w:r w:rsidR="007F0F55">
        <w:t xml:space="preserve">This contrasted with the position in </w:t>
      </w:r>
      <w:r w:rsidR="00B34516">
        <w:rPr>
          <w:i/>
          <w:lang w:eastAsia="en-US"/>
        </w:rPr>
        <w:t>John </w:t>
      </w:r>
      <w:r w:rsidR="00D81DBC" w:rsidRPr="00D81DBC">
        <w:rPr>
          <w:i/>
          <w:lang w:eastAsia="en-US"/>
        </w:rPr>
        <w:t>Murray v. the United Kingdom</w:t>
      </w:r>
      <w:r w:rsidR="00D81DBC" w:rsidRPr="00D81DBC">
        <w:rPr>
          <w:lang w:eastAsia="en-US"/>
        </w:rPr>
        <w:t xml:space="preserve">, 8 February 1996, </w:t>
      </w:r>
      <w:r w:rsidR="00D81DBC" w:rsidRPr="00D81DBC">
        <w:rPr>
          <w:i/>
          <w:lang w:eastAsia="en-US"/>
        </w:rPr>
        <w:t>Reports of Judgments and Decisions</w:t>
      </w:r>
      <w:r w:rsidR="00D81DBC" w:rsidRPr="00D81DBC">
        <w:rPr>
          <w:lang w:eastAsia="en-US"/>
        </w:rPr>
        <w:t xml:space="preserve"> 1996</w:t>
      </w:r>
      <w:r w:rsidR="00D81DBC" w:rsidRPr="00D81DBC">
        <w:rPr>
          <w:lang w:eastAsia="en-US"/>
        </w:rPr>
        <w:noBreakHyphen/>
        <w:t>I</w:t>
      </w:r>
      <w:r w:rsidR="00D12DC0">
        <w:rPr>
          <w:lang w:eastAsia="en-US"/>
        </w:rPr>
        <w:t>,</w:t>
      </w:r>
      <w:r w:rsidR="00D81DBC">
        <w:t xml:space="preserve"> and </w:t>
      </w:r>
      <w:r w:rsidR="00D81DBC" w:rsidRPr="00D81DBC">
        <w:rPr>
          <w:i/>
          <w:lang w:eastAsia="en-US"/>
        </w:rPr>
        <w:t>Magee v. the United Kingdom</w:t>
      </w:r>
      <w:r w:rsidR="00B34516">
        <w:rPr>
          <w:lang w:eastAsia="en-US"/>
        </w:rPr>
        <w:t>, no. </w:t>
      </w:r>
      <w:r w:rsidR="00D81DBC" w:rsidRPr="00D81DBC">
        <w:rPr>
          <w:lang w:eastAsia="en-US"/>
        </w:rPr>
        <w:t>28135/95, ECHR 2000</w:t>
      </w:r>
      <w:r w:rsidR="00D81DBC" w:rsidRPr="00D81DBC">
        <w:rPr>
          <w:lang w:eastAsia="en-US"/>
        </w:rPr>
        <w:noBreakHyphen/>
        <w:t>VI</w:t>
      </w:r>
      <w:r w:rsidR="007F0F55">
        <w:t xml:space="preserve">, where access to solicitors was delayed for </w:t>
      </w:r>
      <w:r w:rsidR="007F0F55">
        <w:lastRenderedPageBreak/>
        <w:t>longer periods</w:t>
      </w:r>
      <w:r w:rsidR="00D12DC0">
        <w:t xml:space="preserve"> and</w:t>
      </w:r>
      <w:r w:rsidR="007F0F55">
        <w:t xml:space="preserve"> the questioning of </w:t>
      </w:r>
      <w:r w:rsidR="002B60C6">
        <w:t xml:space="preserve">the </w:t>
      </w:r>
      <w:r w:rsidR="007F0F55">
        <w:t>applicants was extensive and directed at establishing their criminality.</w:t>
      </w:r>
    </w:p>
    <w:bookmarkStart w:id="123" w:name="GovtsubmissiopurposeSI"/>
    <w:p w:rsidR="00D81DBC" w:rsidRDefault="0082058A" w:rsidP="00177FB2">
      <w:pPr>
        <w:pStyle w:val="JuPara"/>
        <w:tabs>
          <w:tab w:val="left" w:pos="2694"/>
        </w:tabs>
      </w:pPr>
      <w:r>
        <w:fldChar w:fldCharType="begin"/>
      </w:r>
      <w:r w:rsidR="00D81DBC">
        <w:instrText xml:space="preserve"> SEQ level0 \*arabic </w:instrText>
      </w:r>
      <w:r>
        <w:fldChar w:fldCharType="separate"/>
      </w:r>
      <w:r w:rsidR="00517F95">
        <w:rPr>
          <w:noProof/>
        </w:rPr>
        <w:t>163</w:t>
      </w:r>
      <w:r>
        <w:fldChar w:fldCharType="end"/>
      </w:r>
      <w:bookmarkEnd w:id="123"/>
      <w:r w:rsidR="00D81DBC">
        <w:t>.</w:t>
      </w:r>
      <w:r w:rsidR="00A106C5">
        <w:t>  </w:t>
      </w:r>
      <w:r w:rsidR="00700BE8">
        <w:t xml:space="preserve">The Government further submitted that the </w:t>
      </w:r>
      <w:r w:rsidR="00ED20E3">
        <w:t xml:space="preserve">scope of the </w:t>
      </w:r>
      <w:r w:rsidR="00D81DBC">
        <w:t>restriction</w:t>
      </w:r>
      <w:r w:rsidR="00D12DC0">
        <w:t>s</w:t>
      </w:r>
      <w:r w:rsidR="00D81DBC">
        <w:t xml:space="preserve"> had been clearly circumscribed by the provisions of Schedule</w:t>
      </w:r>
      <w:r w:rsidR="00177FB2">
        <w:t xml:space="preserve"> 8</w:t>
      </w:r>
      <w:r w:rsidR="00D81DBC">
        <w:t xml:space="preserve"> to the Terrorism Act 2000. The restrictions contained in that Act were not systematic and could only be imposed on the basis of an assessment of the particular circumstances of </w:t>
      </w:r>
      <w:r w:rsidR="00ED20E3">
        <w:t xml:space="preserve">the </w:t>
      </w:r>
      <w:r w:rsidR="00D81DBC">
        <w:t>individual case. All decisions had to be based on reasonable grounds. In the applicants</w:t>
      </w:r>
      <w:r w:rsidR="005E7B7A">
        <w:t>’</w:t>
      </w:r>
      <w:r w:rsidR="00D81DBC">
        <w:t xml:space="preserve"> cases, the restriction ha</w:t>
      </w:r>
      <w:r w:rsidR="00ED20E3">
        <w:t>d</w:t>
      </w:r>
      <w:r w:rsidR="00D81DBC">
        <w:t xml:space="preserve"> pursued the legitimate aims of the protection of life and prope</w:t>
      </w:r>
      <w:r w:rsidR="00D12DC0">
        <w:t>rty and the prevention of crime. Th</w:t>
      </w:r>
      <w:r w:rsidR="00D81DBC">
        <w:t xml:space="preserve">e Convention system recognised the particular need in the terrorism context to strike a proper balance between individual rights and the exigencies involved in dealing with terrorism. The purpose of questioning </w:t>
      </w:r>
      <w:r w:rsidR="00F0275B">
        <w:t>without access to a solicitor</w:t>
      </w:r>
      <w:r w:rsidR="00D81DBC">
        <w:t xml:space="preserve"> was not to obtain evidence against a suspect but urgently to obtain </w:t>
      </w:r>
      <w:r w:rsidR="00F0275B">
        <w:t>information that would</w:t>
      </w:r>
      <w:r w:rsidR="00D81DBC">
        <w:t xml:space="preserve"> protect life and property and prevent terrorist activity.</w:t>
      </w:r>
      <w:r w:rsidR="00BB1775">
        <w:t xml:space="preserve"> </w:t>
      </w:r>
      <w:r w:rsidR="00D81DBC">
        <w:t>On</w:t>
      </w:r>
      <w:r w:rsidR="00F0275B">
        <w:t>c</w:t>
      </w:r>
      <w:r w:rsidR="00D81DBC">
        <w:t>e the basis for the restriction ceased to subsist, the restriction was no longer possible. No inference from silence could be drawn in subsequent criminal proceedings.</w:t>
      </w:r>
    </w:p>
    <w:bookmarkStart w:id="124" w:name="Govtsubmissionsdistinctionexculpatory"/>
    <w:p w:rsidR="00F0275B" w:rsidRDefault="0082058A" w:rsidP="007F0F55">
      <w:pPr>
        <w:pStyle w:val="JuPara"/>
      </w:pPr>
      <w:r>
        <w:fldChar w:fldCharType="begin"/>
      </w:r>
      <w:r w:rsidR="003477DC">
        <w:instrText xml:space="preserve"> SEQ level0 \*arabic </w:instrText>
      </w:r>
      <w:r>
        <w:fldChar w:fldCharType="separate"/>
      </w:r>
      <w:r w:rsidR="00517F95">
        <w:rPr>
          <w:noProof/>
        </w:rPr>
        <w:t>164</w:t>
      </w:r>
      <w:r>
        <w:fldChar w:fldCharType="end"/>
      </w:r>
      <w:bookmarkEnd w:id="124"/>
      <w:r w:rsidR="003477DC">
        <w:t>.</w:t>
      </w:r>
      <w:r w:rsidR="00A106C5">
        <w:t>  </w:t>
      </w:r>
      <w:r w:rsidR="00ED20E3">
        <w:t>T</w:t>
      </w:r>
      <w:r w:rsidR="00D12DC0">
        <w:t>he Government submitted that t</w:t>
      </w:r>
      <w:r w:rsidR="00DD15B5">
        <w:t xml:space="preserve">he </w:t>
      </w:r>
      <w:r w:rsidR="00D12DC0">
        <w:t>applicants</w:t>
      </w:r>
      <w:r w:rsidR="005E7B7A">
        <w:t>’</w:t>
      </w:r>
      <w:r w:rsidR="00D12DC0">
        <w:t xml:space="preserve"> </w:t>
      </w:r>
      <w:r w:rsidR="00DD15B5">
        <w:t xml:space="preserve">rights were not unduly prejudiced. </w:t>
      </w:r>
      <w:r w:rsidR="007F0F55">
        <w:t xml:space="preserve">It was highly material that </w:t>
      </w:r>
      <w:r w:rsidR="007106BF">
        <w:t>they had c</w:t>
      </w:r>
      <w:r w:rsidR="007F0F55">
        <w:t xml:space="preserve">omplained about the admission of lies told in their police interviews, rather than adverse inferences from silence or </w:t>
      </w:r>
      <w:r w:rsidR="00D12DC0">
        <w:t xml:space="preserve">admission of </w:t>
      </w:r>
      <w:r w:rsidR="007F0F55">
        <w:t>self-incriminating statements. The Court</w:t>
      </w:r>
      <w:r w:rsidR="005E7B7A">
        <w:t>’</w:t>
      </w:r>
      <w:r w:rsidR="007F0F55">
        <w:t xml:space="preserve">s statement </w:t>
      </w:r>
      <w:r w:rsidR="00F0275B">
        <w:t xml:space="preserve">in </w:t>
      </w:r>
      <w:r w:rsidR="0065612D" w:rsidRPr="0039401E">
        <w:rPr>
          <w:i/>
          <w:lang w:eastAsia="en-US"/>
        </w:rPr>
        <w:t>Saunders v. the United Kingdom</w:t>
      </w:r>
      <w:r w:rsidR="00B17A52">
        <w:rPr>
          <w:lang w:eastAsia="en-US"/>
        </w:rPr>
        <w:t>, 17 December 1996, § </w:t>
      </w:r>
      <w:r w:rsidR="0065612D">
        <w:rPr>
          <w:lang w:eastAsia="en-US"/>
        </w:rPr>
        <w:t>71</w:t>
      </w:r>
      <w:r w:rsidR="0065612D" w:rsidRPr="0039401E">
        <w:rPr>
          <w:lang w:eastAsia="en-US"/>
        </w:rPr>
        <w:t xml:space="preserve">, </w:t>
      </w:r>
      <w:r w:rsidR="0065612D" w:rsidRPr="0039401E">
        <w:rPr>
          <w:i/>
          <w:lang w:eastAsia="en-US"/>
        </w:rPr>
        <w:t xml:space="preserve">Reports </w:t>
      </w:r>
      <w:r w:rsidR="0065612D" w:rsidRPr="0039401E">
        <w:rPr>
          <w:lang w:eastAsia="en-US"/>
        </w:rPr>
        <w:t>1996</w:t>
      </w:r>
      <w:r w:rsidR="0065612D" w:rsidRPr="0039401E">
        <w:rPr>
          <w:lang w:eastAsia="en-US"/>
        </w:rPr>
        <w:noBreakHyphen/>
        <w:t>VI</w:t>
      </w:r>
      <w:r w:rsidR="00D12DC0">
        <w:rPr>
          <w:lang w:eastAsia="en-US"/>
        </w:rPr>
        <w:t>,</w:t>
      </w:r>
      <w:r w:rsidR="00F0275B">
        <w:t xml:space="preserve"> </w:t>
      </w:r>
      <w:r w:rsidR="007F0F55">
        <w:t xml:space="preserve">that </w:t>
      </w:r>
      <w:r w:rsidR="003477DC">
        <w:t>t</w:t>
      </w:r>
      <w:r w:rsidR="007F0F55">
        <w:t>he right not to incriminat</w:t>
      </w:r>
      <w:r w:rsidR="00416B7A">
        <w:t>e</w:t>
      </w:r>
      <w:r w:rsidR="007F0F55">
        <w:t xml:space="preserve"> oneself could not be confined to statements which were directly incrimi</w:t>
      </w:r>
      <w:r w:rsidR="00D93BAD">
        <w:t>nating</w:t>
      </w:r>
      <w:r w:rsidR="007F0F55">
        <w:t xml:space="preserve"> but also extended to exculpatory remarks</w:t>
      </w:r>
      <w:r w:rsidR="00D93BAD">
        <w:t>,</w:t>
      </w:r>
      <w:r w:rsidR="00F0275B">
        <w:t xml:space="preserve"> </w:t>
      </w:r>
      <w:r w:rsidR="007F0F55">
        <w:t xml:space="preserve">had been made in the context of statements obtained under compulsion. This was not the case here and, in any event, the </w:t>
      </w:r>
      <w:r w:rsidR="00D93BAD">
        <w:t>applicants</w:t>
      </w:r>
      <w:r w:rsidR="005E7B7A">
        <w:t>’</w:t>
      </w:r>
      <w:r w:rsidR="007F0F55">
        <w:t xml:space="preserve"> statements were </w:t>
      </w:r>
      <w:r w:rsidR="00F0275B">
        <w:t xml:space="preserve">not </w:t>
      </w:r>
      <w:r w:rsidR="00D93BAD">
        <w:t>merely exculpatory</w:t>
      </w:r>
      <w:r w:rsidR="007F0F55">
        <w:t xml:space="preserve"> but </w:t>
      </w:r>
      <w:r w:rsidR="00D93BAD">
        <w:t>also</w:t>
      </w:r>
      <w:r w:rsidR="007F0F55">
        <w:t xml:space="preserve"> false.</w:t>
      </w:r>
      <w:r w:rsidR="00BB1775">
        <w:t xml:space="preserve"> </w:t>
      </w:r>
      <w:r w:rsidR="007F0F55">
        <w:t>In the Government</w:t>
      </w:r>
      <w:r w:rsidR="005E7B7A">
        <w:t>’</w:t>
      </w:r>
      <w:r w:rsidR="007F0F55">
        <w:t xml:space="preserve">s submission, the right against self-incrimination </w:t>
      </w:r>
      <w:r w:rsidR="00F0275B">
        <w:t>operated to</w:t>
      </w:r>
      <w:r w:rsidR="007F0F55">
        <w:t xml:space="preserve"> protect those who incriminated themselves </w:t>
      </w:r>
      <w:r w:rsidR="00F0275B">
        <w:t>or remained silent.</w:t>
      </w:r>
      <w:r w:rsidR="00BB1775">
        <w:t xml:space="preserve"> </w:t>
      </w:r>
      <w:r w:rsidR="00F0275B">
        <w:t xml:space="preserve">It did not protect those who </w:t>
      </w:r>
      <w:r w:rsidR="00D93BAD">
        <w:t xml:space="preserve">had </w:t>
      </w:r>
      <w:r w:rsidR="007F0F55">
        <w:t>deliberately and freely attempted to mislead the authorities (</w:t>
      </w:r>
      <w:r w:rsidR="00D93BAD">
        <w:t>citing,</w:t>
      </w:r>
      <w:r w:rsidR="007F0F55">
        <w:t xml:space="preserve"> </w:t>
      </w:r>
      <w:r w:rsidR="007F0F55" w:rsidRPr="003477DC">
        <w:rPr>
          <w:i/>
        </w:rPr>
        <w:t>mutatis mutandis</w:t>
      </w:r>
      <w:r w:rsidR="007F0F55">
        <w:t xml:space="preserve">, </w:t>
      </w:r>
      <w:r w:rsidR="00DD15B5" w:rsidRPr="00DD15B5">
        <w:rPr>
          <w:i/>
          <w:lang w:eastAsia="en-US"/>
        </w:rPr>
        <w:t>Allen v. the United Kingdom</w:t>
      </w:r>
      <w:r w:rsidR="00D93BAD">
        <w:rPr>
          <w:lang w:eastAsia="en-US"/>
        </w:rPr>
        <w:t xml:space="preserve"> (dec.), no. </w:t>
      </w:r>
      <w:r w:rsidR="00DD15B5" w:rsidRPr="00DD15B5">
        <w:rPr>
          <w:lang w:eastAsia="en-US"/>
        </w:rPr>
        <w:t>76574/01</w:t>
      </w:r>
      <w:r w:rsidR="00DD15B5" w:rsidRPr="00DD15B5">
        <w:rPr>
          <w:szCs w:val="24"/>
          <w:lang w:eastAsia="en-US"/>
        </w:rPr>
        <w:t xml:space="preserve">, </w:t>
      </w:r>
      <w:r w:rsidR="00DD15B5" w:rsidRPr="00DD15B5">
        <w:rPr>
          <w:lang w:eastAsia="en-US"/>
        </w:rPr>
        <w:t>ECHR 2002</w:t>
      </w:r>
      <w:r w:rsidR="00DD15B5" w:rsidRPr="00DD15B5">
        <w:rPr>
          <w:lang w:eastAsia="en-US"/>
        </w:rPr>
        <w:noBreakHyphen/>
        <w:t>VIII</w:t>
      </w:r>
      <w:r w:rsidR="007F0F55">
        <w:t>).</w:t>
      </w:r>
    </w:p>
    <w:p w:rsidR="00F0275B" w:rsidRDefault="00555E80" w:rsidP="007F0F55">
      <w:pPr>
        <w:pStyle w:val="JuPara"/>
      </w:pPr>
      <w:r>
        <w:fldChar w:fldCharType="begin"/>
      </w:r>
      <w:r>
        <w:instrText xml:space="preserve"> SEQ level0 \*arabic </w:instrText>
      </w:r>
      <w:r>
        <w:fldChar w:fldCharType="separate"/>
      </w:r>
      <w:r w:rsidR="00517F95">
        <w:rPr>
          <w:noProof/>
        </w:rPr>
        <w:t>165</w:t>
      </w:r>
      <w:r>
        <w:rPr>
          <w:noProof/>
        </w:rPr>
        <w:fldChar w:fldCharType="end"/>
      </w:r>
      <w:r w:rsidR="00F0275B">
        <w:t>.</w:t>
      </w:r>
      <w:r w:rsidR="00A106C5">
        <w:t>  </w:t>
      </w:r>
      <w:r w:rsidR="00F0275B">
        <w:t xml:space="preserve">The </w:t>
      </w:r>
      <w:r w:rsidR="00D93BAD">
        <w:t xml:space="preserve">Government further argued that the </w:t>
      </w:r>
      <w:r w:rsidR="00F0275B">
        <w:t>applicants</w:t>
      </w:r>
      <w:r w:rsidR="005E7B7A">
        <w:t>’</w:t>
      </w:r>
      <w:r w:rsidR="00F0275B">
        <w:t xml:space="preserve"> </w:t>
      </w:r>
      <w:r w:rsidR="007F0F55">
        <w:t xml:space="preserve">false statements were </w:t>
      </w:r>
      <w:r w:rsidR="00D93BAD">
        <w:t xml:space="preserve">only </w:t>
      </w:r>
      <w:r w:rsidR="007F0F55">
        <w:t>one part of th</w:t>
      </w:r>
      <w:r w:rsidR="00F0275B">
        <w:t>e prosecution case against them</w:t>
      </w:r>
      <w:r w:rsidR="00D93BAD">
        <w:t xml:space="preserve"> and were</w:t>
      </w:r>
      <w:r w:rsidR="007F0F55">
        <w:t xml:space="preserve"> not the primary evidence. There was the evidence of their extremist views and support for suicide bombings, their construction </w:t>
      </w:r>
      <w:r w:rsidR="00ED20E3">
        <w:t xml:space="preserve">and deployment </w:t>
      </w:r>
      <w:r w:rsidR="007F0F55">
        <w:t>of the bombs, the suicide note, and their going into hiding after the failed attacks.</w:t>
      </w:r>
      <w:r w:rsidR="00BB1775">
        <w:t xml:space="preserve"> </w:t>
      </w:r>
      <w:r w:rsidR="007F0F55">
        <w:t xml:space="preserve">Their defence </w:t>
      </w:r>
      <w:r w:rsidR="00DD15B5">
        <w:t xml:space="preserve">– that it was all a hoax – </w:t>
      </w:r>
      <w:r w:rsidR="007F0F55">
        <w:t xml:space="preserve">had been described as </w:t>
      </w:r>
      <w:r w:rsidR="00DD15B5">
        <w:t>“</w:t>
      </w:r>
      <w:r w:rsidR="007F0F55">
        <w:t>ludicrous</w:t>
      </w:r>
      <w:r w:rsidR="00DD15B5">
        <w:t>”</w:t>
      </w:r>
      <w:r w:rsidR="007F0F55">
        <w:t xml:space="preserve"> by the Court of Appeal</w:t>
      </w:r>
      <w:r w:rsidR="00DE4C7A">
        <w:t xml:space="preserve"> (see paragraph </w:t>
      </w:r>
      <w:r w:rsidR="0082058A">
        <w:fldChar w:fldCharType="begin"/>
      </w:r>
      <w:r w:rsidR="00DE4C7A">
        <w:instrText xml:space="preserve"> REF ludicrous \h </w:instrText>
      </w:r>
      <w:r w:rsidR="0082058A">
        <w:fldChar w:fldCharType="separate"/>
      </w:r>
      <w:r w:rsidR="00517F95">
        <w:rPr>
          <w:noProof/>
        </w:rPr>
        <w:t>89</w:t>
      </w:r>
      <w:r w:rsidR="0082058A">
        <w:fldChar w:fldCharType="end"/>
      </w:r>
      <w:r w:rsidR="00DE4C7A">
        <w:t xml:space="preserve"> above)</w:t>
      </w:r>
      <w:r w:rsidR="007F0F55">
        <w:t>.</w:t>
      </w:r>
      <w:r w:rsidR="00D93BAD">
        <w:t xml:space="preserve"> T</w:t>
      </w:r>
      <w:r w:rsidR="007F0F55">
        <w:t xml:space="preserve">his was not a case where, in the language of </w:t>
      </w:r>
      <w:r w:rsidR="007F0F55" w:rsidRPr="003477DC">
        <w:rPr>
          <w:i/>
        </w:rPr>
        <w:t>Salduz</w:t>
      </w:r>
      <w:r w:rsidR="007F0F55">
        <w:t>, incriminating statements made during police interrogation without access to a lawyer were used for a conviction.</w:t>
      </w:r>
    </w:p>
    <w:p w:rsidR="007F0F55" w:rsidRDefault="00555E80" w:rsidP="007F0F55">
      <w:pPr>
        <w:pStyle w:val="JuPara"/>
      </w:pPr>
      <w:r>
        <w:fldChar w:fldCharType="begin"/>
      </w:r>
      <w:r>
        <w:instrText xml:space="preserve"> SEQ level0 \*arabic </w:instrText>
      </w:r>
      <w:r>
        <w:fldChar w:fldCharType="separate"/>
      </w:r>
      <w:r w:rsidR="00517F95">
        <w:rPr>
          <w:noProof/>
        </w:rPr>
        <w:t>166</w:t>
      </w:r>
      <w:r>
        <w:rPr>
          <w:noProof/>
        </w:rPr>
        <w:fldChar w:fldCharType="end"/>
      </w:r>
      <w:r w:rsidR="00F0275B">
        <w:t>.</w:t>
      </w:r>
      <w:r w:rsidR="00A106C5">
        <w:t>  </w:t>
      </w:r>
      <w:r w:rsidR="00D93BAD">
        <w:t>It was further important that t</w:t>
      </w:r>
      <w:r w:rsidR="007F0F55">
        <w:t>he applicants</w:t>
      </w:r>
      <w:r w:rsidR="005E7B7A">
        <w:t>’</w:t>
      </w:r>
      <w:r w:rsidR="007F0F55">
        <w:t xml:space="preserve"> rights had been properly protected by the advers</w:t>
      </w:r>
      <w:r w:rsidR="003477DC">
        <w:t>ar</w:t>
      </w:r>
      <w:r w:rsidR="007F0F55">
        <w:t xml:space="preserve">ial nature of the domestic criminal proceedings. At trial, </w:t>
      </w:r>
      <w:r w:rsidR="00D93BAD">
        <w:t>they</w:t>
      </w:r>
      <w:r w:rsidR="007F0F55">
        <w:t xml:space="preserve"> had been given a proper opportunity to challenge </w:t>
      </w:r>
      <w:r w:rsidR="007F0F55">
        <w:lastRenderedPageBreak/>
        <w:t xml:space="preserve">the admission of their statements. </w:t>
      </w:r>
      <w:r w:rsidR="007106BF">
        <w:t>Their</w:t>
      </w:r>
      <w:r w:rsidR="007F0F55">
        <w:t xml:space="preserve"> </w:t>
      </w:r>
      <w:r w:rsidR="00D93BAD">
        <w:t xml:space="preserve">present </w:t>
      </w:r>
      <w:r w:rsidR="007F0F55">
        <w:t>complaints were, in effect, an invitation to the Court to go behind the trial judge</w:t>
      </w:r>
      <w:r w:rsidR="005E7B7A">
        <w:t>’</w:t>
      </w:r>
      <w:r w:rsidR="007F0F55">
        <w:t>s ruling (confirmed by the Court of Appeal) allowing the statements to be admitted.</w:t>
      </w:r>
    </w:p>
    <w:p w:rsidR="00DD15B5" w:rsidRDefault="00555E80" w:rsidP="007106BF">
      <w:pPr>
        <w:pStyle w:val="JuPara"/>
      </w:pPr>
      <w:r>
        <w:fldChar w:fldCharType="begin"/>
      </w:r>
      <w:r>
        <w:instrText xml:space="preserve"> SEQ level0 \*arabic </w:instrText>
      </w:r>
      <w:r>
        <w:fldChar w:fldCharType="separate"/>
      </w:r>
      <w:r w:rsidR="00517F95">
        <w:rPr>
          <w:noProof/>
        </w:rPr>
        <w:t>167</w:t>
      </w:r>
      <w:r>
        <w:rPr>
          <w:noProof/>
        </w:rPr>
        <w:fldChar w:fldCharType="end"/>
      </w:r>
      <w:r w:rsidR="00DD15B5">
        <w:t>.</w:t>
      </w:r>
      <w:r w:rsidR="00A106C5">
        <w:t>  </w:t>
      </w:r>
      <w:r w:rsidR="00DD15B5">
        <w:t>Finally, the administration of the incorrect caution to the applicants did not cause</w:t>
      </w:r>
      <w:r w:rsidR="001A7D3B">
        <w:t xml:space="preserve"> any</w:t>
      </w:r>
      <w:r w:rsidR="00DD15B5">
        <w:t xml:space="preserve"> unfairness.</w:t>
      </w:r>
      <w:r w:rsidR="001A7D3B">
        <w:t xml:space="preserve"> T</w:t>
      </w:r>
      <w:r w:rsidR="00DD15B5">
        <w:t xml:space="preserve">hey had been warned that they did not have to say anything but </w:t>
      </w:r>
      <w:r w:rsidR="00D93BAD">
        <w:t xml:space="preserve">that </w:t>
      </w:r>
      <w:r w:rsidR="00DD15B5">
        <w:t xml:space="preserve">anything they said could be used in evidence. </w:t>
      </w:r>
      <w:r w:rsidR="001A7D3B">
        <w:t>T</w:t>
      </w:r>
      <w:r w:rsidR="00DD15B5">
        <w:t>he caution used did not cause the</w:t>
      </w:r>
      <w:r w:rsidR="007106BF">
        <w:t xml:space="preserve"> </w:t>
      </w:r>
      <w:r w:rsidR="00DD15B5">
        <w:t xml:space="preserve">applicants to incriminate themselves: </w:t>
      </w:r>
      <w:r w:rsidR="007106BF">
        <w:t>they h</w:t>
      </w:r>
      <w:r w:rsidR="00DD15B5">
        <w:t xml:space="preserve">ad told exculpatory lies. </w:t>
      </w:r>
      <w:r w:rsidR="001A7D3B">
        <w:t>As</w:t>
      </w:r>
      <w:r w:rsidR="00DD15B5">
        <w:t xml:space="preserve"> </w:t>
      </w:r>
      <w:r w:rsidR="00ED20E3">
        <w:t>the trial judge</w:t>
      </w:r>
      <w:r w:rsidR="00DD15B5">
        <w:t xml:space="preserve"> had found at trial, the errors in administering the</w:t>
      </w:r>
      <w:r w:rsidR="00900C88">
        <w:t xml:space="preserve"> </w:t>
      </w:r>
      <w:r w:rsidR="00DD15B5">
        <w:t xml:space="preserve">cautions were straightforward and understandable oversights. He </w:t>
      </w:r>
      <w:r w:rsidR="00D93BAD">
        <w:t xml:space="preserve">had </w:t>
      </w:r>
      <w:r w:rsidR="00DD15B5">
        <w:t>concluded that the new-st</w:t>
      </w:r>
      <w:r w:rsidR="00D93BAD">
        <w:t>yle cautions had not pressur</w:t>
      </w:r>
      <w:r w:rsidR="00DD15B5">
        <w:t>ed the applicants into providing any element of their various defences. That reasoning had been upheld by the Court of Appeal.</w:t>
      </w:r>
    </w:p>
    <w:p w:rsidR="007F0F55" w:rsidRPr="007F0F55" w:rsidRDefault="00E23F32" w:rsidP="007F0F55">
      <w:pPr>
        <w:pStyle w:val="ECHRHeading4"/>
      </w:pPr>
      <w:r>
        <w:t>(</w:t>
      </w:r>
      <w:r w:rsidR="00214D20">
        <w:t>b</w:t>
      </w:r>
      <w:r>
        <w:t>)</w:t>
      </w:r>
      <w:r w:rsidR="00A106C5">
        <w:t>  </w:t>
      </w:r>
      <w:r w:rsidR="00570D09">
        <w:t>The applicants</w:t>
      </w:r>
      <w:r w:rsidR="005E7B7A">
        <w:t>’</w:t>
      </w:r>
      <w:r w:rsidR="00214D20">
        <w:t xml:space="preserve"> submissions</w:t>
      </w:r>
    </w:p>
    <w:bookmarkStart w:id="125" w:name="Appsubsintro"/>
    <w:p w:rsidR="00E931FE" w:rsidRDefault="00EA0EFA" w:rsidP="009C4857">
      <w:pPr>
        <w:pStyle w:val="JuPara"/>
      </w:pPr>
      <w:r>
        <w:fldChar w:fldCharType="begin"/>
      </w:r>
      <w:r>
        <w:instrText xml:space="preserve"> SEQ level0 \*arabic </w:instrText>
      </w:r>
      <w:r>
        <w:fldChar w:fldCharType="separate"/>
      </w:r>
      <w:r w:rsidR="00517F95">
        <w:rPr>
          <w:noProof/>
        </w:rPr>
        <w:t>168</w:t>
      </w:r>
      <w:r>
        <w:rPr>
          <w:noProof/>
        </w:rPr>
        <w:fldChar w:fldCharType="end"/>
      </w:r>
      <w:bookmarkEnd w:id="125"/>
      <w:r w:rsidR="00F71A6A" w:rsidRPr="00555409">
        <w:t>.</w:t>
      </w:r>
      <w:r w:rsidR="00A106C5">
        <w:t>  </w:t>
      </w:r>
      <w:r w:rsidR="0039401E">
        <w:t>The first three applicants submitted that i</w:t>
      </w:r>
      <w:r w:rsidR="00E46519">
        <w:t xml:space="preserve">t might have been justified to conduct </w:t>
      </w:r>
      <w:r w:rsidR="00E931FE">
        <w:t>t</w:t>
      </w:r>
      <w:r w:rsidR="0039401E">
        <w:t xml:space="preserve">he safety interviews before their </w:t>
      </w:r>
      <w:r w:rsidR="00E931FE">
        <w:t>lawyers arrived</w:t>
      </w:r>
      <w:r w:rsidR="00E46519">
        <w:t xml:space="preserve">. However, the police should at least </w:t>
      </w:r>
      <w:r w:rsidR="00E23F32">
        <w:t xml:space="preserve">have </w:t>
      </w:r>
      <w:r w:rsidR="00E46519">
        <w:t xml:space="preserve">tried to obtain </w:t>
      </w:r>
      <w:r w:rsidR="00E931FE">
        <w:t>the lawyers</w:t>
      </w:r>
      <w:r w:rsidR="005E7B7A">
        <w:t>’</w:t>
      </w:r>
      <w:r w:rsidR="00E931FE">
        <w:t xml:space="preserve"> attendance</w:t>
      </w:r>
      <w:r w:rsidR="00E46519">
        <w:t xml:space="preserve"> before proceeding with the safety interviews</w:t>
      </w:r>
      <w:r w:rsidR="00E931FE">
        <w:t>.</w:t>
      </w:r>
      <w:r w:rsidR="00BB1775">
        <w:t xml:space="preserve"> </w:t>
      </w:r>
      <w:r w:rsidR="00E46519">
        <w:t>They had not.</w:t>
      </w:r>
      <w:r w:rsidR="00E931FE">
        <w:t xml:space="preserve"> There was, therefore, no compelling reason for the lack of legal representation. </w:t>
      </w:r>
      <w:r w:rsidR="00E46519">
        <w:t>In this respect, t</w:t>
      </w:r>
      <w:r w:rsidR="00E931FE">
        <w:t>he applicants</w:t>
      </w:r>
      <w:r w:rsidR="00E46519">
        <w:t xml:space="preserve"> underlined that they</w:t>
      </w:r>
      <w:r w:rsidR="00E931FE">
        <w:t xml:space="preserve"> did not seek to disturb the trial judge</w:t>
      </w:r>
      <w:r w:rsidR="005E7B7A">
        <w:t>’</w:t>
      </w:r>
      <w:r w:rsidR="00E931FE">
        <w:t>s findings as to the h</w:t>
      </w:r>
      <w:r w:rsidR="00DE4C7A">
        <w:t>ectic pace of the police enquiry</w:t>
      </w:r>
      <w:r w:rsidR="00E931FE">
        <w:t xml:space="preserve">, the facilities at the police station </w:t>
      </w:r>
      <w:r w:rsidR="00E23F32">
        <w:t>or</w:t>
      </w:r>
      <w:r w:rsidR="00E931FE">
        <w:t xml:space="preserve"> the lack of malice in a</w:t>
      </w:r>
      <w:r w:rsidR="00E46519">
        <w:t>dministering the wrong cautions.</w:t>
      </w:r>
      <w:r w:rsidR="00BB1775">
        <w:t xml:space="preserve"> </w:t>
      </w:r>
      <w:r w:rsidR="00E46519">
        <w:t>They did</w:t>
      </w:r>
      <w:r w:rsidR="00E23F32">
        <w:t>,</w:t>
      </w:r>
      <w:r w:rsidR="00E46519">
        <w:t xml:space="preserve"> however</w:t>
      </w:r>
      <w:r w:rsidR="00E23F32">
        <w:t>,</w:t>
      </w:r>
      <w:r w:rsidR="00E931FE">
        <w:t xml:space="preserve"> point out that the police could have contacted lawyers as soon as </w:t>
      </w:r>
      <w:r w:rsidR="00E23F32">
        <w:t>they had</w:t>
      </w:r>
      <w:r w:rsidR="00E931FE">
        <w:t xml:space="preserve"> requested legal assistance. Had </w:t>
      </w:r>
      <w:r w:rsidR="00E46519">
        <w:t xml:space="preserve">the police </w:t>
      </w:r>
      <w:r w:rsidR="00E931FE">
        <w:t>done so, there was every prospect that the applicants would have been represented</w:t>
      </w:r>
      <w:r w:rsidR="00E46519">
        <w:t xml:space="preserve"> by solicitors</w:t>
      </w:r>
      <w:r w:rsidR="00E931FE">
        <w:t xml:space="preserve"> by the time the police were ready to</w:t>
      </w:r>
      <w:r w:rsidR="000248C6">
        <w:t xml:space="preserve"> conduct the safety interviews</w:t>
      </w:r>
      <w:r w:rsidR="009C4857">
        <w:t>. T</w:t>
      </w:r>
      <w:r w:rsidR="00E931FE">
        <w:t xml:space="preserve">he </w:t>
      </w:r>
      <w:r w:rsidR="00E23F32">
        <w:t>applicants</w:t>
      </w:r>
      <w:r w:rsidR="009C4857">
        <w:t xml:space="preserve"> therefore</w:t>
      </w:r>
      <w:r w:rsidR="00E23F32">
        <w:t xml:space="preserve"> argued that the </w:t>
      </w:r>
      <w:r w:rsidR="00E931FE">
        <w:t xml:space="preserve">decision to hold </w:t>
      </w:r>
      <w:r w:rsidR="00E23F32">
        <w:t>them</w:t>
      </w:r>
      <w:r w:rsidR="00E931FE">
        <w:t xml:space="preserve"> incommunicado was a convenience to police officers acting under great pressure but not a necessity.</w:t>
      </w:r>
    </w:p>
    <w:p w:rsidR="00E931FE" w:rsidRDefault="00555E80" w:rsidP="00E931FE">
      <w:pPr>
        <w:pStyle w:val="JuPara"/>
        <w:rPr>
          <w:lang w:eastAsia="en-US"/>
        </w:rPr>
      </w:pPr>
      <w:r>
        <w:fldChar w:fldCharType="begin"/>
      </w:r>
      <w:r>
        <w:instrText xml:space="preserve"> SEQ level0 \*arabic </w:instrText>
      </w:r>
      <w:r>
        <w:fldChar w:fldCharType="separate"/>
      </w:r>
      <w:r w:rsidR="00517F95">
        <w:rPr>
          <w:noProof/>
        </w:rPr>
        <w:t>169</w:t>
      </w:r>
      <w:r>
        <w:rPr>
          <w:noProof/>
        </w:rPr>
        <w:fldChar w:fldCharType="end"/>
      </w:r>
      <w:r w:rsidR="00E931FE">
        <w:t>.</w:t>
      </w:r>
      <w:r w:rsidR="00A106C5">
        <w:t>  </w:t>
      </w:r>
      <w:r w:rsidR="00E931FE">
        <w:t>In any case, whether or not the denial of legal representation was justified</w:t>
      </w:r>
      <w:r w:rsidR="004C6F03">
        <w:t xml:space="preserve"> by compelling reasons</w:t>
      </w:r>
      <w:r w:rsidR="00E931FE">
        <w:t xml:space="preserve">, the </w:t>
      </w:r>
      <w:r w:rsidR="00E23F32">
        <w:t xml:space="preserve">applicants contended that the </w:t>
      </w:r>
      <w:r w:rsidR="00E931FE">
        <w:t xml:space="preserve">subsequent admission at </w:t>
      </w:r>
      <w:r w:rsidR="00E23F32">
        <w:t>their</w:t>
      </w:r>
      <w:r w:rsidR="00E931FE">
        <w:t xml:space="preserve"> trial of the</w:t>
      </w:r>
      <w:r w:rsidR="00E23F32">
        <w:t xml:space="preserve"> answers they had given </w:t>
      </w:r>
      <w:r w:rsidR="00E931FE">
        <w:t xml:space="preserve">was </w:t>
      </w:r>
      <w:r w:rsidR="009E00D8">
        <w:t>in</w:t>
      </w:r>
      <w:r w:rsidR="00E931FE">
        <w:t xml:space="preserve"> violation of Article 6. The right to legal advice was not merely a protection against coercion and ill-treatment: there was a clear link between the right to legal advice and the right against self-incrimination running through t</w:t>
      </w:r>
      <w:r w:rsidR="009E00D8">
        <w:t xml:space="preserve">he case-law of the Court both before and after </w:t>
      </w:r>
      <w:r w:rsidR="009E00D8" w:rsidRPr="009E00D8">
        <w:rPr>
          <w:i/>
        </w:rPr>
        <w:t>Salduz</w:t>
      </w:r>
      <w:r w:rsidR="009E00D8">
        <w:t>.</w:t>
      </w:r>
    </w:p>
    <w:bookmarkStart w:id="126" w:name="FirstthreeapplicantsonGovtexculpdist"/>
    <w:p w:rsidR="00E931FE" w:rsidRDefault="0082058A" w:rsidP="007A72FC">
      <w:pPr>
        <w:pStyle w:val="JuPara"/>
      </w:pPr>
      <w:r>
        <w:fldChar w:fldCharType="begin"/>
      </w:r>
      <w:r w:rsidR="00E931FE">
        <w:instrText xml:space="preserve"> SEQ level0 \*arabic </w:instrText>
      </w:r>
      <w:r>
        <w:fldChar w:fldCharType="separate"/>
      </w:r>
      <w:r w:rsidR="00517F95">
        <w:rPr>
          <w:noProof/>
        </w:rPr>
        <w:t>170</w:t>
      </w:r>
      <w:r>
        <w:fldChar w:fldCharType="end"/>
      </w:r>
      <w:bookmarkEnd w:id="126"/>
      <w:r w:rsidR="00E931FE">
        <w:t>.</w:t>
      </w:r>
      <w:r w:rsidR="00A106C5">
        <w:t>  </w:t>
      </w:r>
      <w:r w:rsidR="00E931FE">
        <w:t>There was no relevance in the distinction</w:t>
      </w:r>
      <w:r w:rsidR="007A72FC">
        <w:t xml:space="preserve"> drawn by the Government</w:t>
      </w:r>
      <w:r w:rsidR="00E931FE">
        <w:t xml:space="preserve"> between telling lies and making</w:t>
      </w:r>
      <w:r w:rsidR="007A72FC">
        <w:t xml:space="preserve"> incriminating</w:t>
      </w:r>
      <w:r w:rsidR="00E931FE">
        <w:t xml:space="preserve"> admissions or staying silen</w:t>
      </w:r>
      <w:r w:rsidR="007A72FC">
        <w:t>t</w:t>
      </w:r>
      <w:r w:rsidR="007B0A74">
        <w:t xml:space="preserve"> (see the Government</w:t>
      </w:r>
      <w:r w:rsidR="005E7B7A">
        <w:t>’</w:t>
      </w:r>
      <w:r w:rsidR="007B0A74">
        <w:t xml:space="preserve">s submissions at paragraph </w:t>
      </w:r>
      <w:r>
        <w:fldChar w:fldCharType="begin"/>
      </w:r>
      <w:r w:rsidR="007B0A74">
        <w:instrText xml:space="preserve"> REF Govtsubmissionsdistinctionexculpatory \h </w:instrText>
      </w:r>
      <w:r>
        <w:fldChar w:fldCharType="separate"/>
      </w:r>
      <w:r w:rsidR="00517F95">
        <w:rPr>
          <w:noProof/>
        </w:rPr>
        <w:t>164</w:t>
      </w:r>
      <w:r>
        <w:fldChar w:fldCharType="end"/>
      </w:r>
      <w:r w:rsidR="007B0A74">
        <w:t xml:space="preserve"> above)</w:t>
      </w:r>
      <w:r w:rsidR="00E931FE">
        <w:t xml:space="preserve">. Any such distinction had no basis in domestic law or the </w:t>
      </w:r>
      <w:r w:rsidR="007B0A74">
        <w:t>Court</w:t>
      </w:r>
      <w:r w:rsidR="005E7B7A">
        <w:t>’</w:t>
      </w:r>
      <w:r w:rsidR="007B0A74">
        <w:t>s</w:t>
      </w:r>
      <w:r w:rsidR="00E931FE">
        <w:t xml:space="preserve"> case-law. </w:t>
      </w:r>
      <w:r w:rsidR="00E931FE" w:rsidRPr="00583964">
        <w:rPr>
          <w:i/>
        </w:rPr>
        <w:t>Saunders</w:t>
      </w:r>
      <w:r w:rsidR="00963F9A" w:rsidRPr="00963F9A">
        <w:rPr>
          <w:i/>
        </w:rPr>
        <w:t xml:space="preserve"> </w:t>
      </w:r>
      <w:r w:rsidR="00963F9A" w:rsidRPr="00583964">
        <w:rPr>
          <w:i/>
        </w:rPr>
        <w:t>Saunders</w:t>
      </w:r>
      <w:r w:rsidR="00963F9A">
        <w:t>, cited above, §</w:t>
      </w:r>
      <w:r w:rsidR="00963F9A">
        <w:rPr>
          <w:i/>
        </w:rPr>
        <w:t xml:space="preserve"> </w:t>
      </w:r>
      <w:r w:rsidR="00963F9A">
        <w:t>71,</w:t>
      </w:r>
      <w:r w:rsidR="007B0A74">
        <w:rPr>
          <w:i/>
        </w:rPr>
        <w:t xml:space="preserve"> </w:t>
      </w:r>
      <w:r w:rsidR="00CB4889">
        <w:t>made it</w:t>
      </w:r>
      <w:r w:rsidR="00E931FE">
        <w:t xml:space="preserve"> clear that the right not to incriminate oneself could not reasonably be confined </w:t>
      </w:r>
      <w:r w:rsidR="00114908">
        <w:t xml:space="preserve">to </w:t>
      </w:r>
      <w:r w:rsidR="00963F9A">
        <w:t>admissions</w:t>
      </w:r>
      <w:r w:rsidR="00E931FE">
        <w:t>. Lies were often deployed as evidence of guilt</w:t>
      </w:r>
      <w:r w:rsidR="007A72FC">
        <w:t xml:space="preserve"> because </w:t>
      </w:r>
      <w:r w:rsidR="00E931FE">
        <w:t xml:space="preserve">a proven lie was </w:t>
      </w:r>
      <w:r w:rsidR="007A72FC">
        <w:t xml:space="preserve">a self-incriminating statement. </w:t>
      </w:r>
      <w:r w:rsidR="00E931FE">
        <w:t>Further</w:t>
      </w:r>
      <w:r w:rsidR="007A72FC">
        <w:t>more</w:t>
      </w:r>
      <w:r w:rsidR="00E931FE">
        <w:t xml:space="preserve">, </w:t>
      </w:r>
      <w:r w:rsidR="00CB4889">
        <w:t>when</w:t>
      </w:r>
      <w:r w:rsidR="00E931FE">
        <w:t xml:space="preserve"> choosing not to exercise their right to silence, </w:t>
      </w:r>
      <w:r w:rsidR="00E931FE">
        <w:lastRenderedPageBreak/>
        <w:t>the</w:t>
      </w:r>
      <w:r w:rsidR="00570D09">
        <w:t xml:space="preserve"> </w:t>
      </w:r>
      <w:r w:rsidR="00E931FE">
        <w:t xml:space="preserve">applicants </w:t>
      </w:r>
      <w:r w:rsidR="00CB4889">
        <w:t>had</w:t>
      </w:r>
      <w:r w:rsidR="00E931FE">
        <w:t xml:space="preserve"> not </w:t>
      </w:r>
      <w:r w:rsidR="00CB4889">
        <w:t>had</w:t>
      </w:r>
      <w:r w:rsidR="00E931FE">
        <w:t xml:space="preserve"> access to a lawyer and the Court could not know whether</w:t>
      </w:r>
      <w:r w:rsidR="00583964">
        <w:t>,</w:t>
      </w:r>
      <w:r w:rsidR="00E931FE">
        <w:t xml:space="preserve"> if legally advised, they would have acted differently. Finally, </w:t>
      </w:r>
      <w:r w:rsidR="007A72FC">
        <w:t>the Government</w:t>
      </w:r>
      <w:r w:rsidR="005E7B7A">
        <w:t>’</w:t>
      </w:r>
      <w:r w:rsidR="007A72FC">
        <w:t>s</w:t>
      </w:r>
      <w:r w:rsidR="00E931FE">
        <w:t xml:space="preserve"> distinction would have uncertain</w:t>
      </w:r>
      <w:r w:rsidR="00CB4889">
        <w:t xml:space="preserve"> and unpredictable consequences:</w:t>
      </w:r>
      <w:r w:rsidR="00E931FE">
        <w:t xml:space="preserve"> in an interview an arrested person could remain silen</w:t>
      </w:r>
      <w:r w:rsidR="00583964">
        <w:t>t</w:t>
      </w:r>
      <w:r w:rsidR="00E931FE">
        <w:t>, tell lies, admi</w:t>
      </w:r>
      <w:r w:rsidR="00583964">
        <w:t>t</w:t>
      </w:r>
      <w:r w:rsidR="00E931FE">
        <w:t xml:space="preserve"> the offence or giv</w:t>
      </w:r>
      <w:r w:rsidR="00583964">
        <w:t>e</w:t>
      </w:r>
      <w:r w:rsidR="00E931FE">
        <w:t xml:space="preserve"> answers that might </w:t>
      </w:r>
      <w:r w:rsidR="007161E9">
        <w:t xml:space="preserve">later </w:t>
      </w:r>
      <w:r w:rsidR="00E931FE">
        <w:t>be argued to be lies or admissions. Unless there was a single rule for questioning, the police, trial courts and appellate courts could not know if the interview was compatible with the Convention.</w:t>
      </w:r>
    </w:p>
    <w:bookmarkStart w:id="127" w:name="firstthreeapplicantssubmissionssignficst"/>
    <w:p w:rsidR="00F71A6A" w:rsidRDefault="0082058A" w:rsidP="008F3694">
      <w:pPr>
        <w:pStyle w:val="JuPara"/>
      </w:pPr>
      <w:r>
        <w:fldChar w:fldCharType="begin"/>
      </w:r>
      <w:r w:rsidR="00E931FE">
        <w:instrText xml:space="preserve"> SEQ level0 \*arabic </w:instrText>
      </w:r>
      <w:r>
        <w:fldChar w:fldCharType="separate"/>
      </w:r>
      <w:r w:rsidR="00517F95">
        <w:rPr>
          <w:noProof/>
        </w:rPr>
        <w:t>171</w:t>
      </w:r>
      <w:r>
        <w:fldChar w:fldCharType="end"/>
      </w:r>
      <w:bookmarkEnd w:id="127"/>
      <w:r w:rsidR="00E931FE">
        <w:t>.</w:t>
      </w:r>
      <w:r w:rsidR="00A106C5">
        <w:t>  </w:t>
      </w:r>
      <w:r w:rsidR="00E931FE">
        <w:t>The</w:t>
      </w:r>
      <w:r w:rsidR="00CB4889">
        <w:t xml:space="preserve"> applicants maintained that the</w:t>
      </w:r>
      <w:r w:rsidR="00E931FE">
        <w:t xml:space="preserve"> admission of the statements unduly and irretrievably prejudiced their defence. Although the Court of Appeal had cautioned against attaching disproportionate importance to the statements, the trial judge had described them </w:t>
      </w:r>
      <w:r w:rsidR="00CB4889">
        <w:t>as having</w:t>
      </w:r>
      <w:r w:rsidR="00E931FE">
        <w:t xml:space="preserve"> “potentially high relevance” and the Court of Appeal had also described the </w:t>
      </w:r>
      <w:r w:rsidR="007161E9">
        <w:t>statements</w:t>
      </w:r>
      <w:r w:rsidR="00E931FE">
        <w:t xml:space="preserve"> as “important evidence”</w:t>
      </w:r>
      <w:r w:rsidR="00DE4C7A">
        <w:t xml:space="preserve"> (paragraphs </w:t>
      </w:r>
      <w:r>
        <w:fldChar w:fldCharType="begin"/>
      </w:r>
      <w:r w:rsidR="00DE4C7A">
        <w:instrText xml:space="preserve"> REF Fulfordrulingsignificancestatements \h </w:instrText>
      </w:r>
      <w:r>
        <w:fldChar w:fldCharType="separate"/>
      </w:r>
      <w:r w:rsidR="00517F95">
        <w:rPr>
          <w:noProof/>
        </w:rPr>
        <w:t>62</w:t>
      </w:r>
      <w:r>
        <w:fldChar w:fldCharType="end"/>
      </w:r>
      <w:r w:rsidR="00DE4C7A">
        <w:t xml:space="preserve"> and </w:t>
      </w:r>
      <w:r>
        <w:fldChar w:fldCharType="begin"/>
      </w:r>
      <w:r w:rsidR="00DE4C7A">
        <w:instrText xml:space="preserve"> REF CourtofAppealsignficancestatements \h </w:instrText>
      </w:r>
      <w:r>
        <w:fldChar w:fldCharType="separate"/>
      </w:r>
      <w:r w:rsidR="00517F95">
        <w:rPr>
          <w:noProof/>
        </w:rPr>
        <w:t>92</w:t>
      </w:r>
      <w:r>
        <w:fldChar w:fldCharType="end"/>
      </w:r>
      <w:r w:rsidR="00DE4C7A">
        <w:t xml:space="preserve"> above)</w:t>
      </w:r>
      <w:r w:rsidR="00114908">
        <w:t>.</w:t>
      </w:r>
      <w:r w:rsidR="00E931FE">
        <w:t xml:space="preserve"> The Court of Appeal had placed the issue of the safety of the </w:t>
      </w:r>
      <w:r w:rsidR="007161E9">
        <w:t>convictions</w:t>
      </w:r>
      <w:r w:rsidR="00E931FE">
        <w:t xml:space="preserve"> above the applicants</w:t>
      </w:r>
      <w:r w:rsidR="005E7B7A">
        <w:t>’</w:t>
      </w:r>
      <w:r w:rsidR="00E931FE">
        <w:t xml:space="preserve"> right to a fair trial.</w:t>
      </w:r>
      <w:r w:rsidR="00963F9A">
        <w:t xml:space="preserve"> T</w:t>
      </w:r>
      <w:r w:rsidR="00E931FE">
        <w:t xml:space="preserve">o the extent that the Government relied on the checks and balances in the domestic legal system, this argument had been considered and rejected over a decade ago in </w:t>
      </w:r>
      <w:r w:rsidR="00E931FE" w:rsidRPr="007161E9">
        <w:rPr>
          <w:i/>
        </w:rPr>
        <w:t>Magee</w:t>
      </w:r>
      <w:r w:rsidR="00E931FE">
        <w:t>,</w:t>
      </w:r>
      <w:r w:rsidR="007161E9">
        <w:t xml:space="preserve"> cited above, §</w:t>
      </w:r>
      <w:r w:rsidR="008F3694">
        <w:t xml:space="preserve"> 37.</w:t>
      </w:r>
    </w:p>
    <w:p w:rsidR="00DA3073" w:rsidRDefault="00555E80" w:rsidP="009F3D3E">
      <w:pPr>
        <w:pStyle w:val="JuPara"/>
      </w:pPr>
      <w:r>
        <w:fldChar w:fldCharType="begin"/>
      </w:r>
      <w:r>
        <w:instrText xml:space="preserve"> SEQ level0 \*arabic </w:instrText>
      </w:r>
      <w:r>
        <w:fldChar w:fldCharType="separate"/>
      </w:r>
      <w:r w:rsidR="00517F95">
        <w:rPr>
          <w:noProof/>
        </w:rPr>
        <w:t>172</w:t>
      </w:r>
      <w:r>
        <w:rPr>
          <w:noProof/>
        </w:rPr>
        <w:fldChar w:fldCharType="end"/>
      </w:r>
      <w:r w:rsidR="00DA3073">
        <w:t>.</w:t>
      </w:r>
      <w:r w:rsidR="00A106C5">
        <w:t>  </w:t>
      </w:r>
      <w:r w:rsidR="00DA3073">
        <w:t xml:space="preserve">Finally, the use of the incorrect caution was not determinative but did add to the seriousness of the violation. First, the answers </w:t>
      </w:r>
      <w:r w:rsidR="00CB4889">
        <w:t xml:space="preserve">that </w:t>
      </w:r>
      <w:r w:rsidR="00DA3073">
        <w:t>the applicants gave followed a caution which obliged them to put forward an account or face adverse consequences. Second, if solicitors had been present the error would have been noticed and corrected. Third, the Court should be wary of the trial judge</w:t>
      </w:r>
      <w:r w:rsidR="005E7B7A">
        <w:t>’</w:t>
      </w:r>
      <w:r w:rsidR="00DA3073">
        <w:t xml:space="preserve">s conclusion that it would have made no difference, since in </w:t>
      </w:r>
      <w:r w:rsidR="00DA3073" w:rsidRPr="009E00D8">
        <w:rPr>
          <w:i/>
        </w:rPr>
        <w:t>John Murray</w:t>
      </w:r>
      <w:r w:rsidR="00CB4889">
        <w:t xml:space="preserve">, cited above, § 68, </w:t>
      </w:r>
      <w:r w:rsidR="009347B6">
        <w:t>it had</w:t>
      </w:r>
      <w:r w:rsidR="00CB4889">
        <w:t xml:space="preserve"> considered it to be </w:t>
      </w:r>
      <w:r w:rsidR="00DA3073">
        <w:t xml:space="preserve">highly speculative to seek to determine how a detained person might have behaved had </w:t>
      </w:r>
      <w:r w:rsidR="00CB4889">
        <w:t>he</w:t>
      </w:r>
      <w:r w:rsidR="00DA3073">
        <w:t xml:space="preserve"> been afforded legal advice.</w:t>
      </w:r>
    </w:p>
    <w:bookmarkStart w:id="128" w:name="generalcontextofcompellingreasonsFINAL"/>
    <w:p w:rsidR="003068DC" w:rsidRDefault="0082058A" w:rsidP="00E931FE">
      <w:pPr>
        <w:pStyle w:val="JuPara"/>
      </w:pPr>
      <w:r>
        <w:fldChar w:fldCharType="begin"/>
      </w:r>
      <w:r w:rsidR="00F15335">
        <w:instrText xml:space="preserve"> SEQ level0 \*arabic </w:instrText>
      </w:r>
      <w:r>
        <w:fldChar w:fldCharType="separate"/>
      </w:r>
      <w:r w:rsidR="00517F95">
        <w:rPr>
          <w:noProof/>
        </w:rPr>
        <w:t>173</w:t>
      </w:r>
      <w:r>
        <w:fldChar w:fldCharType="end"/>
      </w:r>
      <w:bookmarkEnd w:id="128"/>
      <w:r w:rsidR="00F15335">
        <w:t>.  </w:t>
      </w:r>
      <w:r w:rsidR="003068DC">
        <w:t xml:space="preserve">Mr </w:t>
      </w:r>
      <w:r w:rsidR="003068DC" w:rsidRPr="003068DC">
        <w:t xml:space="preserve">Omar added in separate submissions that the Court of Appeal had not found that there was no breach of the </w:t>
      </w:r>
      <w:r w:rsidR="00963F9A">
        <w:t>applicable c</w:t>
      </w:r>
      <w:r w:rsidR="003068DC" w:rsidRPr="003068DC">
        <w:t xml:space="preserve">ode of </w:t>
      </w:r>
      <w:r w:rsidR="00963F9A">
        <w:t>p</w:t>
      </w:r>
      <w:r w:rsidR="003068DC" w:rsidRPr="003068DC">
        <w:t>ractice</w:t>
      </w:r>
      <w:r w:rsidR="009F3D3E">
        <w:t xml:space="preserve"> but</w:t>
      </w:r>
      <w:r w:rsidR="003068DC" w:rsidRPr="003068DC">
        <w:t xml:space="preserve"> had dismissed the appeals on the ground that any breach did not render the statements inadmissible</w:t>
      </w:r>
      <w:r w:rsidR="007B0A74">
        <w:t xml:space="preserve"> (see paragraph </w:t>
      </w:r>
      <w:r>
        <w:fldChar w:fldCharType="begin"/>
      </w:r>
      <w:r w:rsidR="007B0A74">
        <w:instrText xml:space="preserve"> REF CourtofAppealOmarsseparatesubmission \h </w:instrText>
      </w:r>
      <w:r>
        <w:fldChar w:fldCharType="separate"/>
      </w:r>
      <w:r w:rsidR="00517F95">
        <w:rPr>
          <w:noProof/>
        </w:rPr>
        <w:t>95</w:t>
      </w:r>
      <w:r>
        <w:fldChar w:fldCharType="end"/>
      </w:r>
      <w:r w:rsidR="007B0A74">
        <w:t xml:space="preserve"> above)</w:t>
      </w:r>
      <w:r w:rsidR="003068DC" w:rsidRPr="003068DC">
        <w:t xml:space="preserve">. </w:t>
      </w:r>
      <w:r w:rsidR="009F3D3E">
        <w:t>He argued that t</w:t>
      </w:r>
      <w:r w:rsidR="003068DC" w:rsidRPr="003068DC">
        <w:t xml:space="preserve">he denial of access to a lawyer could not be justified when the circumstances of the case did not fall within any of the exceptional and circumscribed circumstances for delaying access to a lawyer contained in </w:t>
      </w:r>
      <w:r w:rsidR="00B17A52">
        <w:t>Code C</w:t>
      </w:r>
      <w:r w:rsidR="003068DC" w:rsidRPr="003068DC">
        <w:t>. The unlawful</w:t>
      </w:r>
      <w:r w:rsidR="007161E9">
        <w:t xml:space="preserve"> denial to him of his Article </w:t>
      </w:r>
      <w:r w:rsidR="003068DC" w:rsidRPr="003068DC">
        <w:t>6 rights was made worse because the denial of acc</w:t>
      </w:r>
      <w:r w:rsidR="007161E9">
        <w:t xml:space="preserve">ess to a lawyer was intentional. </w:t>
      </w:r>
      <w:r w:rsidR="003068DC" w:rsidRPr="003068DC">
        <w:t xml:space="preserve">He did not dispute the justification for carrying out safety interviews </w:t>
      </w:r>
      <w:r w:rsidR="003068DC" w:rsidRPr="007161E9">
        <w:rPr>
          <w:i/>
        </w:rPr>
        <w:t>per se</w:t>
      </w:r>
      <w:r w:rsidR="003068DC" w:rsidRPr="003068DC">
        <w:t>, but that was different from the justification for carrying out safety interviews when an individual had been intentionally and unlawf</w:t>
      </w:r>
      <w:r w:rsidR="007161E9">
        <w:t>ully denied access to a lawyer.</w:t>
      </w:r>
    </w:p>
    <w:p w:rsidR="00214D20" w:rsidRDefault="007A61E7" w:rsidP="00214D20">
      <w:pPr>
        <w:pStyle w:val="ECHRHeading3"/>
      </w:pPr>
      <w:r>
        <w:lastRenderedPageBreak/>
        <w:t>2.  </w:t>
      </w:r>
      <w:r w:rsidR="00214D20">
        <w:t xml:space="preserve">The </w:t>
      </w:r>
      <w:r w:rsidR="00B17A52">
        <w:t>parties</w:t>
      </w:r>
      <w:r w:rsidR="005E7B7A">
        <w:t>’</w:t>
      </w:r>
      <w:r w:rsidR="00B17A52">
        <w:t xml:space="preserve"> observations concerning the </w:t>
      </w:r>
      <w:r w:rsidR="00214D20">
        <w:t>fo</w:t>
      </w:r>
      <w:r w:rsidR="00B17A52">
        <w:t>urth applicant (Mr </w:t>
      </w:r>
      <w:r w:rsidR="00214D20">
        <w:t>Abdurahman)</w:t>
      </w:r>
    </w:p>
    <w:p w:rsidR="00214D20" w:rsidRPr="00214D20" w:rsidRDefault="00214D20" w:rsidP="00214D20">
      <w:pPr>
        <w:pStyle w:val="ECHRHeading4"/>
      </w:pPr>
      <w:r>
        <w:t>(a)</w:t>
      </w:r>
      <w:r w:rsidR="007A61E7">
        <w:t>  </w:t>
      </w:r>
      <w:r>
        <w:t>The Government</w:t>
      </w:r>
      <w:r w:rsidR="005E7B7A">
        <w:t>’</w:t>
      </w:r>
      <w:r>
        <w:t>s submissions</w:t>
      </w:r>
    </w:p>
    <w:p w:rsidR="00560D3E" w:rsidRDefault="00555E80" w:rsidP="00214D20">
      <w:pPr>
        <w:pStyle w:val="JuPara"/>
      </w:pPr>
      <w:r>
        <w:fldChar w:fldCharType="begin"/>
      </w:r>
      <w:r>
        <w:instrText xml:space="preserve"> SEQ level0 \*arabic </w:instrText>
      </w:r>
      <w:r>
        <w:fldChar w:fldCharType="separate"/>
      </w:r>
      <w:r w:rsidR="00517F95">
        <w:rPr>
          <w:noProof/>
        </w:rPr>
        <w:t>174</w:t>
      </w:r>
      <w:r>
        <w:rPr>
          <w:noProof/>
        </w:rPr>
        <w:fldChar w:fldCharType="end"/>
      </w:r>
      <w:r w:rsidR="007A61E7">
        <w:t>.  </w:t>
      </w:r>
      <w:r w:rsidR="00214D20">
        <w:t xml:space="preserve">The Government submitted that </w:t>
      </w:r>
      <w:r w:rsidR="0035638D">
        <w:t>the</w:t>
      </w:r>
      <w:r w:rsidR="00214D20">
        <w:t xml:space="preserve"> failure to comply with </w:t>
      </w:r>
      <w:r w:rsidR="0035638D">
        <w:t>the applicable code of practice</w:t>
      </w:r>
      <w:r w:rsidR="00214D20">
        <w:t xml:space="preserve"> obligation to caution a suspect and inform him of his entitlement to free legal assistance</w:t>
      </w:r>
      <w:r w:rsidR="00B17A52">
        <w:t xml:space="preserve"> (</w:t>
      </w:r>
      <w:r w:rsidR="00214D20">
        <w:t xml:space="preserve">see paragraph </w:t>
      </w:r>
      <w:r w:rsidR="0082058A">
        <w:fldChar w:fldCharType="begin"/>
      </w:r>
      <w:r w:rsidR="00214D20">
        <w:instrText xml:space="preserve"> REF CodeCobligationtocuationsuspect \h </w:instrText>
      </w:r>
      <w:r w:rsidR="0082058A">
        <w:fldChar w:fldCharType="separate"/>
      </w:r>
      <w:r w:rsidR="00517F95">
        <w:rPr>
          <w:noProof/>
        </w:rPr>
        <w:t>134</w:t>
      </w:r>
      <w:r w:rsidR="0082058A">
        <w:fldChar w:fldCharType="end"/>
      </w:r>
      <w:r w:rsidR="00214D20">
        <w:t xml:space="preserve"> above) did not necessarily violate Article 6, as </w:t>
      </w:r>
      <w:r w:rsidR="00B17A52">
        <w:t xml:space="preserve">that </w:t>
      </w:r>
      <w:r w:rsidR="00214D20">
        <w:t>Article did not require that statements made in the absence of such procedural safeguards not be adduced in evidence.</w:t>
      </w:r>
    </w:p>
    <w:p w:rsidR="00214D20" w:rsidRPr="001A7D3B" w:rsidRDefault="00555E80" w:rsidP="00214D20">
      <w:pPr>
        <w:pStyle w:val="JuPara"/>
        <w:rPr>
          <w:i/>
          <w:lang w:eastAsia="en-US"/>
        </w:rPr>
      </w:pPr>
      <w:r>
        <w:fldChar w:fldCharType="begin"/>
      </w:r>
      <w:r>
        <w:instrText xml:space="preserve"> SEQ level0 \*arabic </w:instrText>
      </w:r>
      <w:r>
        <w:fldChar w:fldCharType="separate"/>
      </w:r>
      <w:r w:rsidR="00517F95">
        <w:rPr>
          <w:noProof/>
        </w:rPr>
        <w:t>175</w:t>
      </w:r>
      <w:r>
        <w:rPr>
          <w:noProof/>
        </w:rPr>
        <w:fldChar w:fldCharType="end"/>
      </w:r>
      <w:r w:rsidR="007A61E7">
        <w:t>.  </w:t>
      </w:r>
      <w:r w:rsidR="00214D20">
        <w:t xml:space="preserve">The Government accepted that as, a matter of principle, statements made in the </w:t>
      </w:r>
      <w:r w:rsidR="00214D20" w:rsidRPr="00E2591B">
        <w:t xml:space="preserve">absence of a caution or legal advice should be treated with </w:t>
      </w:r>
      <w:r w:rsidR="00214D20">
        <w:t>care</w:t>
      </w:r>
      <w:r w:rsidR="00214D20" w:rsidRPr="00E2591B">
        <w:t>, and</w:t>
      </w:r>
      <w:r w:rsidR="00214D20">
        <w:t xml:space="preserve"> that</w:t>
      </w:r>
      <w:r w:rsidR="00214D20" w:rsidRPr="00E2591B">
        <w:t xml:space="preserve"> there </w:t>
      </w:r>
      <w:r w:rsidR="00214D20">
        <w:t>should be a justification for the denial of safeguards. However, the entirety of the proceedings had to be considered. On a proper reading of the Court</w:t>
      </w:r>
      <w:r w:rsidR="005E7B7A">
        <w:t>’</w:t>
      </w:r>
      <w:r w:rsidR="00214D20">
        <w:t xml:space="preserve">s case-law, particularly </w:t>
      </w:r>
      <w:r w:rsidR="00214D20" w:rsidRPr="001A7D3B">
        <w:rPr>
          <w:i/>
          <w:snapToGrid w:val="0"/>
          <w:lang w:eastAsia="en-US"/>
        </w:rPr>
        <w:t xml:space="preserve">Aleksandr </w:t>
      </w:r>
      <w:r w:rsidR="00214D20" w:rsidRPr="001A7D3B">
        <w:rPr>
          <w:i/>
          <w:lang w:eastAsia="en-US"/>
        </w:rPr>
        <w:t>Zaichenko v. Russia</w:t>
      </w:r>
      <w:r w:rsidR="00214D20" w:rsidRPr="001A7D3B">
        <w:rPr>
          <w:lang w:eastAsia="en-US"/>
        </w:rPr>
        <w:t>, no. 39660/02</w:t>
      </w:r>
      <w:r w:rsidR="00214D20" w:rsidRPr="001A7D3B">
        <w:rPr>
          <w:snapToGrid w:val="0"/>
          <w:lang w:eastAsia="en-US"/>
        </w:rPr>
        <w:t>, 18 February 2010</w:t>
      </w:r>
      <w:r w:rsidR="00214D20">
        <w:t xml:space="preserve">, </w:t>
      </w:r>
      <w:r w:rsidR="0035638D">
        <w:t>what</w:t>
      </w:r>
      <w:r w:rsidR="00214D20">
        <w:t xml:space="preserve"> was necessary was that, at trial, the accused should have an opportunity to challenge the use of the statement, its reliability should be assessed, the fairness of admitting it should be considered and the trial court should give reasons for its decisions.</w:t>
      </w:r>
    </w:p>
    <w:p w:rsidR="00214D20" w:rsidRDefault="00555E80" w:rsidP="00214D20">
      <w:pPr>
        <w:pStyle w:val="JuPara"/>
      </w:pPr>
      <w:r>
        <w:fldChar w:fldCharType="begin"/>
      </w:r>
      <w:r>
        <w:instrText xml:space="preserve"> SEQ level0 \*arabic </w:instrText>
      </w:r>
      <w:r>
        <w:fldChar w:fldCharType="separate"/>
      </w:r>
      <w:r w:rsidR="00517F95">
        <w:rPr>
          <w:noProof/>
        </w:rPr>
        <w:t>176</w:t>
      </w:r>
      <w:r>
        <w:rPr>
          <w:noProof/>
        </w:rPr>
        <w:fldChar w:fldCharType="end"/>
      </w:r>
      <w:r w:rsidR="00214D20">
        <w:t>.</w:t>
      </w:r>
      <w:r w:rsidR="007A61E7">
        <w:t>  </w:t>
      </w:r>
      <w:r w:rsidR="00214D20">
        <w:t>In the fourth applicant</w:t>
      </w:r>
      <w:r w:rsidR="005E7B7A">
        <w:t>’</w:t>
      </w:r>
      <w:r w:rsidR="00214D20">
        <w:t xml:space="preserve">s case there were compelling reasons for the actions of the police and, at trial, his rights had been respected. The justification for the police action was the need to obtain information on the three would-be suicide bombers who were still at large when he was questioned (Mr Ibrahim, Mr Mohammed and Mr Osman). The need to protect the public outweighed the need to comply with </w:t>
      </w:r>
      <w:r w:rsidR="00963F9A">
        <w:t>the code of practice</w:t>
      </w:r>
      <w:r w:rsidR="00214D20">
        <w:t>. To have treated the fourth applicant as a suspect before he had confirmed the contents of his statement might have hindered the gathering of information critical to preventing a further terrorist attack. The actions of the police did not represent a systemic practice but were the consequence of particular necessity in the fourth applicant</w:t>
      </w:r>
      <w:r w:rsidR="005E7B7A">
        <w:t>’</w:t>
      </w:r>
      <w:r w:rsidR="00214D20">
        <w:t>s case.</w:t>
      </w:r>
    </w:p>
    <w:p w:rsidR="00214D20" w:rsidRDefault="00555E80" w:rsidP="00214D20">
      <w:pPr>
        <w:pStyle w:val="JuPara"/>
      </w:pPr>
      <w:r>
        <w:fldChar w:fldCharType="begin"/>
      </w:r>
      <w:r>
        <w:instrText xml:space="preserve"> SEQ level0 \*arabic </w:instrText>
      </w:r>
      <w:r>
        <w:fldChar w:fldCharType="separate"/>
      </w:r>
      <w:r w:rsidR="00517F95">
        <w:rPr>
          <w:noProof/>
        </w:rPr>
        <w:t>177</w:t>
      </w:r>
      <w:r>
        <w:rPr>
          <w:noProof/>
        </w:rPr>
        <w:fldChar w:fldCharType="end"/>
      </w:r>
      <w:r w:rsidR="007A61E7">
        <w:t>.  </w:t>
      </w:r>
      <w:r w:rsidR="00214D20">
        <w:t xml:space="preserve">The Government also emphasised that there was no compulsion. The fourth applicant had attended the police station voluntarily. He had not been arrested and his freedom of action was not curtailed (in contrast to the applicants in both </w:t>
      </w:r>
      <w:r w:rsidR="00214D20" w:rsidRPr="001A7D3B">
        <w:rPr>
          <w:i/>
          <w:snapToGrid w:val="0"/>
          <w:lang w:eastAsia="en-US"/>
        </w:rPr>
        <w:t xml:space="preserve">Aleksandr </w:t>
      </w:r>
      <w:r w:rsidR="00214D20" w:rsidRPr="001A7D3B">
        <w:rPr>
          <w:i/>
          <w:lang w:eastAsia="en-US"/>
        </w:rPr>
        <w:t>Zaichenko</w:t>
      </w:r>
      <w:r w:rsidR="00214D20">
        <w:t xml:space="preserve"> and </w:t>
      </w:r>
      <w:r w:rsidR="00214D20" w:rsidRPr="0039401E">
        <w:rPr>
          <w:i/>
        </w:rPr>
        <w:t>Salduz</w:t>
      </w:r>
      <w:r w:rsidR="00214D20">
        <w:t>).</w:t>
      </w:r>
    </w:p>
    <w:p w:rsidR="00214D20" w:rsidRPr="00CE41C3" w:rsidRDefault="00555E80" w:rsidP="00214D20">
      <w:pPr>
        <w:pStyle w:val="JuPara"/>
      </w:pPr>
      <w:r>
        <w:fldChar w:fldCharType="begin"/>
      </w:r>
      <w:r>
        <w:instrText xml:space="preserve"> SEQ level0 \*arabic </w:instrText>
      </w:r>
      <w:r>
        <w:fldChar w:fldCharType="separate"/>
      </w:r>
      <w:r w:rsidR="00517F95">
        <w:rPr>
          <w:noProof/>
        </w:rPr>
        <w:t>178</w:t>
      </w:r>
      <w:r>
        <w:rPr>
          <w:noProof/>
        </w:rPr>
        <w:fldChar w:fldCharType="end"/>
      </w:r>
      <w:r w:rsidR="007A61E7">
        <w:t>.  </w:t>
      </w:r>
      <w:r w:rsidR="00214D20">
        <w:t>It was also relevant that the pre-caution statement was not one made in isolation. After he had been cautioned and provided with legal assistance, the</w:t>
      </w:r>
      <w:r w:rsidR="00214D20" w:rsidRPr="004A3819">
        <w:t xml:space="preserve"> </w:t>
      </w:r>
      <w:r w:rsidR="00214D20">
        <w:t xml:space="preserve">fourth applicant had decided not to remain silent and had instead confirmed that his witness statement was true (again in contrast to </w:t>
      </w:r>
      <w:r w:rsidR="00214D20" w:rsidRPr="001A7D3B">
        <w:rPr>
          <w:i/>
          <w:snapToGrid w:val="0"/>
          <w:lang w:eastAsia="en-US"/>
        </w:rPr>
        <w:t xml:space="preserve">Aleksandr </w:t>
      </w:r>
      <w:r w:rsidR="00214D20" w:rsidRPr="001A7D3B">
        <w:rPr>
          <w:i/>
          <w:lang w:eastAsia="en-US"/>
        </w:rPr>
        <w:t xml:space="preserve">Zaichenko </w:t>
      </w:r>
      <w:r w:rsidR="00214D20">
        <w:t xml:space="preserve">and </w:t>
      </w:r>
      <w:r w:rsidR="00214D20" w:rsidRPr="0039401E">
        <w:rPr>
          <w:i/>
        </w:rPr>
        <w:t>Salduz</w:t>
      </w:r>
      <w:r w:rsidR="00214D20">
        <w:t xml:space="preserve">, where the applicants had tried to retract their statements). Indeed, the fourth applicant had relied on his statement to show that he had given valuable assistance to the police. This was his position both at the later police interviews (where he had been cautioned and a lawyer was present) and at trial. </w:t>
      </w:r>
      <w:r w:rsidR="00B17A52">
        <w:t>Although</w:t>
      </w:r>
      <w:r w:rsidR="00214D20">
        <w:t xml:space="preserve"> </w:t>
      </w:r>
      <w:r w:rsidR="00963F9A">
        <w:t>this</w:t>
      </w:r>
      <w:r w:rsidR="00214D20">
        <w:t xml:space="preserve"> was not decisive in determining whether the trial was fair</w:t>
      </w:r>
      <w:r w:rsidR="00B17A52">
        <w:t xml:space="preserve">, </w:t>
      </w:r>
      <w:r w:rsidR="00214D20">
        <w:t xml:space="preserve">in contrast to </w:t>
      </w:r>
      <w:r w:rsidR="00B17A52">
        <w:rPr>
          <w:i/>
          <w:lang w:eastAsia="en-US"/>
        </w:rPr>
        <w:t>Amutgan v.</w:t>
      </w:r>
      <w:r w:rsidR="006D0455">
        <w:rPr>
          <w:i/>
          <w:lang w:eastAsia="en-US"/>
        </w:rPr>
        <w:t xml:space="preserve"> </w:t>
      </w:r>
      <w:r w:rsidR="00214D20" w:rsidRPr="0039401E">
        <w:rPr>
          <w:i/>
          <w:lang w:eastAsia="en-US"/>
        </w:rPr>
        <w:t>Turkey</w:t>
      </w:r>
      <w:r w:rsidR="00B17A52">
        <w:rPr>
          <w:lang w:eastAsia="en-US"/>
        </w:rPr>
        <w:t xml:space="preserve">, </w:t>
      </w:r>
      <w:r w:rsidR="00B17A52">
        <w:rPr>
          <w:lang w:eastAsia="en-US"/>
        </w:rPr>
        <w:lastRenderedPageBreak/>
        <w:t>no. </w:t>
      </w:r>
      <w:r w:rsidR="00214D20" w:rsidRPr="0039401E">
        <w:rPr>
          <w:lang w:eastAsia="en-US"/>
        </w:rPr>
        <w:t>5138/04, 3 February 2009</w:t>
      </w:r>
      <w:r w:rsidR="00B17A52">
        <w:t xml:space="preserve"> (</w:t>
      </w:r>
      <w:r w:rsidR="00214D20">
        <w:t>where a violation was found in a case involving an illiterate defendant who had later confirmed the accuracy of a written statement made without the benefit of legal advice</w:t>
      </w:r>
      <w:r w:rsidR="00B17A52">
        <w:t>),</w:t>
      </w:r>
      <w:r w:rsidR="00214D20">
        <w:t xml:space="preserve"> here there was no detention or coercive treatment by the police and no systemic denial of legal assistance; there was justification for the denial of legal assistance; and the fourth applicant had not merely confirmed the accuracy of his statement but had relied </w:t>
      </w:r>
      <w:r w:rsidR="006D0455">
        <w:t>on it to establish his defence.</w:t>
      </w:r>
    </w:p>
    <w:p w:rsidR="00214D20" w:rsidRDefault="00555E80" w:rsidP="00214D20">
      <w:pPr>
        <w:pStyle w:val="JuPara"/>
      </w:pPr>
      <w:r>
        <w:fldChar w:fldCharType="begin"/>
      </w:r>
      <w:r>
        <w:instrText xml:space="preserve"> SEQ level0 \*arabic </w:instrText>
      </w:r>
      <w:r>
        <w:fldChar w:fldCharType="separate"/>
      </w:r>
      <w:r w:rsidR="00517F95">
        <w:rPr>
          <w:noProof/>
        </w:rPr>
        <w:t>179</w:t>
      </w:r>
      <w:r>
        <w:rPr>
          <w:noProof/>
        </w:rPr>
        <w:fldChar w:fldCharType="end"/>
      </w:r>
      <w:r w:rsidR="00214D20">
        <w:t xml:space="preserve">.  The Government also pointed out that the fourth applicant had been given the opportunity to challenge the admission of the witness statement at trial and, again in contrast to </w:t>
      </w:r>
      <w:r w:rsidR="00214D20" w:rsidRPr="0039401E">
        <w:rPr>
          <w:i/>
        </w:rPr>
        <w:t>Salduz</w:t>
      </w:r>
      <w:r w:rsidR="00214D20">
        <w:t xml:space="preserve"> and </w:t>
      </w:r>
      <w:r w:rsidR="00214D20" w:rsidRPr="001A7D3B">
        <w:rPr>
          <w:i/>
          <w:snapToGrid w:val="0"/>
          <w:lang w:eastAsia="en-US"/>
        </w:rPr>
        <w:t xml:space="preserve">Aleksandr </w:t>
      </w:r>
      <w:r w:rsidR="00214D20" w:rsidRPr="001A7D3B">
        <w:rPr>
          <w:i/>
          <w:lang w:eastAsia="en-US"/>
        </w:rPr>
        <w:t>Zaichenko</w:t>
      </w:r>
      <w:r w:rsidR="00214D20">
        <w:rPr>
          <w:lang w:eastAsia="en-US"/>
        </w:rPr>
        <w:t>,</w:t>
      </w:r>
      <w:r w:rsidR="00214D20">
        <w:t xml:space="preserve"> the trial judge had properly addressed the question of admissibility. He had found the statement reliable and noted that it had been adopted under caution and after the benefit of legal advice.</w:t>
      </w:r>
      <w:r w:rsidR="00963F9A">
        <w:t xml:space="preserve"> He had considered it important to his assessment of the reliability of the statement that the fourth applicant had adopted it after receiving legal advice and in the presence of his lawyer.</w:t>
      </w:r>
      <w:r w:rsidR="00214D20">
        <w:t xml:space="preserve"> Those reasons had been</w:t>
      </w:r>
      <w:r w:rsidR="006D0455">
        <w:t xml:space="preserve"> upheld by the Court of Appeal.</w:t>
      </w:r>
    </w:p>
    <w:p w:rsidR="00214D20" w:rsidRDefault="00555E80" w:rsidP="00214D20">
      <w:pPr>
        <w:pStyle w:val="JuPara"/>
      </w:pPr>
      <w:r>
        <w:fldChar w:fldCharType="begin"/>
      </w:r>
      <w:r>
        <w:instrText xml:space="preserve"> SEQ level0 \*arabic </w:instrText>
      </w:r>
      <w:r>
        <w:fldChar w:fldCharType="separate"/>
      </w:r>
      <w:r w:rsidR="00517F95">
        <w:rPr>
          <w:noProof/>
        </w:rPr>
        <w:t>180</w:t>
      </w:r>
      <w:r>
        <w:rPr>
          <w:noProof/>
        </w:rPr>
        <w:fldChar w:fldCharType="end"/>
      </w:r>
      <w:r w:rsidR="00214D20">
        <w:t>.  Finally, the statement was only one part of the prosecution case and it could not be said that the conviction was based on the statement. There was a vast amount of evidence that Mr</w:t>
      </w:r>
      <w:r w:rsidR="006D0455">
        <w:t xml:space="preserve"> </w:t>
      </w:r>
      <w:r w:rsidR="00214D20">
        <w:t>Osman had stayed in the fourth applicant</w:t>
      </w:r>
      <w:r w:rsidR="005E7B7A">
        <w:t>’</w:t>
      </w:r>
      <w:r w:rsidR="00214D20">
        <w:t>s flat and that the fourth applicant had run errands for Mr Osman in order to assist in Mr Osman</w:t>
      </w:r>
      <w:r w:rsidR="005E7B7A">
        <w:t>’</w:t>
      </w:r>
      <w:r w:rsidR="00214D20">
        <w:t xml:space="preserve">s escape from the United Kingdom (see paragraph </w:t>
      </w:r>
      <w:r w:rsidR="0082058A">
        <w:fldChar w:fldCharType="begin"/>
      </w:r>
      <w:r w:rsidR="00214D20">
        <w:instrText xml:space="preserve"> REF fourthapplicanttrialotherevidence \h </w:instrText>
      </w:r>
      <w:r w:rsidR="0082058A">
        <w:fldChar w:fldCharType="separate"/>
      </w:r>
      <w:r w:rsidR="00517F95">
        <w:rPr>
          <w:noProof/>
        </w:rPr>
        <w:t>121</w:t>
      </w:r>
      <w:r w:rsidR="0082058A">
        <w:fldChar w:fldCharType="end"/>
      </w:r>
      <w:r w:rsidR="00214D20">
        <w:t xml:space="preserve"> above).</w:t>
      </w:r>
    </w:p>
    <w:p w:rsidR="00560D3E" w:rsidRDefault="009F3D3E" w:rsidP="007F0F55">
      <w:pPr>
        <w:pStyle w:val="ECHRHeading4"/>
      </w:pPr>
      <w:r>
        <w:t>(b)</w:t>
      </w:r>
      <w:r w:rsidR="007A61E7">
        <w:t>  </w:t>
      </w:r>
      <w:r w:rsidR="008E6ABE">
        <w:t xml:space="preserve">The </w:t>
      </w:r>
      <w:r w:rsidR="00B17A52">
        <w:t xml:space="preserve">fourth </w:t>
      </w:r>
      <w:r w:rsidR="008E6ABE">
        <w:t>applicant</w:t>
      </w:r>
      <w:r w:rsidR="005E7B7A">
        <w:t>’</w:t>
      </w:r>
      <w:r w:rsidR="00214D20">
        <w:t>s submissions</w:t>
      </w:r>
    </w:p>
    <w:p w:rsidR="0094294F" w:rsidRDefault="00555E80" w:rsidP="0094294F">
      <w:pPr>
        <w:pStyle w:val="JuPara"/>
      </w:pPr>
      <w:r>
        <w:fldChar w:fldCharType="begin"/>
      </w:r>
      <w:r>
        <w:instrText xml:space="preserve"> SEQ level0 \*arabic </w:instrText>
      </w:r>
      <w:r>
        <w:fldChar w:fldCharType="separate"/>
      </w:r>
      <w:r w:rsidR="00517F95">
        <w:rPr>
          <w:noProof/>
        </w:rPr>
        <w:t>181</w:t>
      </w:r>
      <w:r>
        <w:rPr>
          <w:noProof/>
        </w:rPr>
        <w:fldChar w:fldCharType="end"/>
      </w:r>
      <w:r w:rsidR="0094294F">
        <w:t>.</w:t>
      </w:r>
      <w:r w:rsidR="007A61E7">
        <w:t>  </w:t>
      </w:r>
      <w:r w:rsidR="00FA4D81">
        <w:t>The fourth applicant</w:t>
      </w:r>
      <w:r w:rsidR="0094294F">
        <w:t xml:space="preserve"> submitted that it was</w:t>
      </w:r>
      <w:r w:rsidR="0058346D">
        <w:t xml:space="preserve"> not justifiable purpos</w:t>
      </w:r>
      <w:r w:rsidR="0094294F">
        <w:t xml:space="preserve">ely to deny a person his rights on the basis of domestic security and then use the evidence obtained from that </w:t>
      </w:r>
      <w:r w:rsidR="006D0455">
        <w:t>denial in order to convict him.</w:t>
      </w:r>
    </w:p>
    <w:p w:rsidR="0094294F" w:rsidRDefault="00555E80" w:rsidP="0094294F">
      <w:pPr>
        <w:pStyle w:val="JuPara"/>
      </w:pPr>
      <w:r>
        <w:fldChar w:fldCharType="begin"/>
      </w:r>
      <w:r>
        <w:instrText xml:space="preserve"> SEQ level0 \*arabic </w:instrText>
      </w:r>
      <w:r>
        <w:fldChar w:fldCharType="separate"/>
      </w:r>
      <w:r w:rsidR="00517F95">
        <w:rPr>
          <w:noProof/>
        </w:rPr>
        <w:t>182</w:t>
      </w:r>
      <w:r>
        <w:rPr>
          <w:noProof/>
        </w:rPr>
        <w:fldChar w:fldCharType="end"/>
      </w:r>
      <w:r w:rsidR="0094294F">
        <w:t>.</w:t>
      </w:r>
      <w:r w:rsidR="007A61E7">
        <w:t>  </w:t>
      </w:r>
      <w:r w:rsidR="0094294F">
        <w:t xml:space="preserve">On the facts of his case, he submitted that, although he had not been legally arrested or detained when he gave his witness statement, he was effectively in police custody for a period of approximately eleven hours. </w:t>
      </w:r>
      <w:r w:rsidR="00A404DE">
        <w:t>He had not been</w:t>
      </w:r>
      <w:r w:rsidR="0094294F">
        <w:t xml:space="preserve"> cautioned,</w:t>
      </w:r>
      <w:r w:rsidR="00605FCC">
        <w:t xml:space="preserve"> </w:t>
      </w:r>
      <w:r w:rsidR="00A404DE">
        <w:t>had not had access to legal advice and</w:t>
      </w:r>
      <w:r w:rsidR="00605FCC">
        <w:t xml:space="preserve"> </w:t>
      </w:r>
      <w:r w:rsidR="00A404DE">
        <w:t>had not had</w:t>
      </w:r>
      <w:r w:rsidR="0094294F">
        <w:t xml:space="preserve"> proper rest for at least eight hours</w:t>
      </w:r>
      <w:r w:rsidR="00A404DE">
        <w:t>;</w:t>
      </w:r>
      <w:r w:rsidR="0094294F">
        <w:t xml:space="preserve"> and </w:t>
      </w:r>
      <w:r w:rsidR="00605FCC">
        <w:t>his</w:t>
      </w:r>
      <w:r w:rsidR="0094294F">
        <w:t xml:space="preserve"> interview </w:t>
      </w:r>
      <w:r w:rsidR="00A404DE">
        <w:t>had not been</w:t>
      </w:r>
      <w:r w:rsidR="0094294F">
        <w:t xml:space="preserve"> tape-recorded. He was continually in the presence of police officers, </w:t>
      </w:r>
      <w:r w:rsidR="00383050">
        <w:t xml:space="preserve">either in a room at </w:t>
      </w:r>
      <w:r w:rsidR="00A404DE">
        <w:t>the</w:t>
      </w:r>
      <w:r w:rsidR="00383050">
        <w:t xml:space="preserve"> </w:t>
      </w:r>
      <w:r w:rsidR="00A404DE">
        <w:t>p</w:t>
      </w:r>
      <w:r w:rsidR="0094294F">
        <w:t xml:space="preserve">olice </w:t>
      </w:r>
      <w:r w:rsidR="00A404DE">
        <w:t>s</w:t>
      </w:r>
      <w:r w:rsidR="0094294F">
        <w:t xml:space="preserve">tation or on the drive to </w:t>
      </w:r>
      <w:r w:rsidR="00605FCC">
        <w:t xml:space="preserve">Mr </w:t>
      </w:r>
      <w:r w:rsidR="0094294F">
        <w:t>Osman</w:t>
      </w:r>
      <w:r w:rsidR="005E7B7A">
        <w:t>’</w:t>
      </w:r>
      <w:r w:rsidR="0094294F">
        <w:t xml:space="preserve">s address. The police officers had informed </w:t>
      </w:r>
      <w:r w:rsidR="00605FCC">
        <w:t xml:space="preserve">him </w:t>
      </w:r>
      <w:r w:rsidR="0094294F">
        <w:t xml:space="preserve">that he would be free to leave once he had signed the witness statement. The corollary of this was that he </w:t>
      </w:r>
      <w:r w:rsidR="00A404DE">
        <w:t>had</w:t>
      </w:r>
      <w:r w:rsidR="00605FCC">
        <w:t xml:space="preserve"> not</w:t>
      </w:r>
      <w:r w:rsidR="00A404DE">
        <w:t xml:space="preserve"> been</w:t>
      </w:r>
      <w:r w:rsidR="0094294F">
        <w:t xml:space="preserve"> free to leave until he had done so. It also meant the incriminating answers giv</w:t>
      </w:r>
      <w:r w:rsidR="00A404DE">
        <w:t>en</w:t>
      </w:r>
      <w:r w:rsidR="0094294F">
        <w:t xml:space="preserve"> in his interviews </w:t>
      </w:r>
      <w:r w:rsidR="00605FCC">
        <w:t>had been</w:t>
      </w:r>
      <w:r w:rsidR="0094294F">
        <w:t xml:space="preserve"> extracted through a trick.</w:t>
      </w:r>
    </w:p>
    <w:p w:rsidR="0094294F" w:rsidRDefault="00555E80" w:rsidP="0094294F">
      <w:pPr>
        <w:pStyle w:val="JuPara"/>
      </w:pPr>
      <w:r>
        <w:fldChar w:fldCharType="begin"/>
      </w:r>
      <w:r>
        <w:instrText xml:space="preserve"> SEQ level0 \*arabic </w:instrText>
      </w:r>
      <w:r>
        <w:fldChar w:fldCharType="separate"/>
      </w:r>
      <w:r w:rsidR="00517F95">
        <w:rPr>
          <w:noProof/>
        </w:rPr>
        <w:t>183</w:t>
      </w:r>
      <w:r>
        <w:rPr>
          <w:noProof/>
        </w:rPr>
        <w:fldChar w:fldCharType="end"/>
      </w:r>
      <w:r w:rsidR="0094294F">
        <w:t>.</w:t>
      </w:r>
      <w:r w:rsidR="007A61E7">
        <w:t>  </w:t>
      </w:r>
      <w:r w:rsidR="00A404DE">
        <w:t>He contended that t</w:t>
      </w:r>
      <w:r w:rsidR="0094294F">
        <w:t>here were no compelling reasons for denying him legal advice or for denying him the r</w:t>
      </w:r>
      <w:r w:rsidR="007B0A74">
        <w:t>ight against self-incrimination</w:t>
      </w:r>
      <w:r w:rsidR="00A404DE">
        <w:t>. He advanced four arguments</w:t>
      </w:r>
      <w:r w:rsidR="0094294F">
        <w:t>.</w:t>
      </w:r>
    </w:p>
    <w:p w:rsidR="0094294F" w:rsidRDefault="00555E80" w:rsidP="0094294F">
      <w:pPr>
        <w:pStyle w:val="JuPara"/>
      </w:pPr>
      <w:r>
        <w:fldChar w:fldCharType="begin"/>
      </w:r>
      <w:r>
        <w:instrText xml:space="preserve"> SEQ level0 \*arabic </w:instrText>
      </w:r>
      <w:r>
        <w:fldChar w:fldCharType="separate"/>
      </w:r>
      <w:r w:rsidR="00517F95">
        <w:rPr>
          <w:noProof/>
        </w:rPr>
        <w:t>184</w:t>
      </w:r>
      <w:r>
        <w:rPr>
          <w:noProof/>
        </w:rPr>
        <w:fldChar w:fldCharType="end"/>
      </w:r>
      <w:r w:rsidR="008F3694">
        <w:t>.</w:t>
      </w:r>
      <w:r w:rsidR="007A61E7">
        <w:t>  </w:t>
      </w:r>
      <w:r w:rsidR="0094294F">
        <w:t xml:space="preserve">First, treating him as a witness rather than a suspect was not the only way for the police to obtain information as to the whereabouts of the three suspected bombers. They had already arrested Mr Omar in </w:t>
      </w:r>
      <w:r w:rsidR="0094294F">
        <w:lastRenderedPageBreak/>
        <w:t>Birmingham</w:t>
      </w:r>
      <w:r w:rsidR="007B0A74">
        <w:t xml:space="preserve"> (see paragraph </w:t>
      </w:r>
      <w:r w:rsidR="0082058A">
        <w:fldChar w:fldCharType="begin"/>
      </w:r>
      <w:r w:rsidR="007B0A74">
        <w:instrText xml:space="preserve"> REF Omararrest \h </w:instrText>
      </w:r>
      <w:r w:rsidR="0082058A">
        <w:fldChar w:fldCharType="separate"/>
      </w:r>
      <w:r w:rsidR="00517F95">
        <w:rPr>
          <w:noProof/>
        </w:rPr>
        <w:t>14</w:t>
      </w:r>
      <w:r w:rsidR="0082058A">
        <w:fldChar w:fldCharType="end"/>
      </w:r>
      <w:r w:rsidR="007B0A74">
        <w:t xml:space="preserve"> above)</w:t>
      </w:r>
      <w:r w:rsidR="0094294F">
        <w:t xml:space="preserve">. If </w:t>
      </w:r>
      <w:r w:rsidR="00605FCC">
        <w:t xml:space="preserve">they had arrested the </w:t>
      </w:r>
      <w:r w:rsidR="0011451F">
        <w:t xml:space="preserve">fourth </w:t>
      </w:r>
      <w:r w:rsidR="00605FCC">
        <w:t xml:space="preserve">applicant, </w:t>
      </w:r>
      <w:r w:rsidR="0094294F">
        <w:t>they would have</w:t>
      </w:r>
      <w:r w:rsidR="00A404DE">
        <w:t xml:space="preserve"> had</w:t>
      </w:r>
      <w:r w:rsidR="0094294F">
        <w:t xml:space="preserve"> the power to seize his possessions including his mobile </w:t>
      </w:r>
      <w:r w:rsidR="004C7DF6">
        <w:t>tele</w:t>
      </w:r>
      <w:r w:rsidR="0094294F">
        <w:t xml:space="preserve">phone. That phone would have been a valuable source of information. It was of note that </w:t>
      </w:r>
      <w:r w:rsidR="00605FCC">
        <w:t xml:space="preserve">Mr </w:t>
      </w:r>
      <w:r w:rsidR="0094294F">
        <w:t xml:space="preserve">Osman </w:t>
      </w:r>
      <w:r w:rsidR="00963F9A">
        <w:t>was later</w:t>
      </w:r>
      <w:r w:rsidR="0094294F">
        <w:t xml:space="preserve"> traced to Rome as a result of telephone calls made by him in Rome to the </w:t>
      </w:r>
      <w:r w:rsidR="00963F9A">
        <w:t xml:space="preserve">fourth </w:t>
      </w:r>
      <w:r w:rsidR="0094294F">
        <w:t>applicant</w:t>
      </w:r>
      <w:r w:rsidR="005E7B7A">
        <w:t>’</w:t>
      </w:r>
      <w:r w:rsidR="0094294F">
        <w:t xml:space="preserve">s mobile phone. In addition, if they had arrested the </w:t>
      </w:r>
      <w:r w:rsidR="00FF1ACA">
        <w:t xml:space="preserve">fourth </w:t>
      </w:r>
      <w:r w:rsidR="0094294F">
        <w:t>applicant</w:t>
      </w:r>
      <w:r w:rsidR="00605FCC">
        <w:t>,</w:t>
      </w:r>
      <w:r w:rsidR="0094294F">
        <w:t xml:space="preserve"> the police would have had the power to search </w:t>
      </w:r>
      <w:r w:rsidR="00FF1ACA">
        <w:t>his</w:t>
      </w:r>
      <w:r w:rsidR="0094294F">
        <w:t xml:space="preserve"> home, and carry out forensic examinations there</w:t>
      </w:r>
      <w:r w:rsidR="006D0455">
        <w:t>, which in due course they did.</w:t>
      </w:r>
    </w:p>
    <w:p w:rsidR="0094294F" w:rsidRDefault="00555E80" w:rsidP="0094294F">
      <w:pPr>
        <w:pStyle w:val="JuPara"/>
      </w:pPr>
      <w:r>
        <w:fldChar w:fldCharType="begin"/>
      </w:r>
      <w:r>
        <w:instrText xml:space="preserve"> SEQ level0 \*arabic </w:instrText>
      </w:r>
      <w:r>
        <w:fldChar w:fldCharType="separate"/>
      </w:r>
      <w:r w:rsidR="00517F95">
        <w:rPr>
          <w:noProof/>
        </w:rPr>
        <w:t>185</w:t>
      </w:r>
      <w:r>
        <w:rPr>
          <w:noProof/>
        </w:rPr>
        <w:fldChar w:fldCharType="end"/>
      </w:r>
      <w:r w:rsidR="008F3694">
        <w:t>.</w:t>
      </w:r>
      <w:r w:rsidR="007A61E7">
        <w:t>  </w:t>
      </w:r>
      <w:r w:rsidR="0094294F">
        <w:t xml:space="preserve">Second, if the police had made a tactical decision to breach the </w:t>
      </w:r>
      <w:r w:rsidR="00605FCC">
        <w:t xml:space="preserve">fourth </w:t>
      </w:r>
      <w:r w:rsidR="0094294F">
        <w:t>applicant</w:t>
      </w:r>
      <w:r w:rsidR="005E7B7A">
        <w:t>’</w:t>
      </w:r>
      <w:r w:rsidR="0094294F">
        <w:t>s rights in order to obtain information, then they could have treated the</w:t>
      </w:r>
      <w:r w:rsidR="004A3819">
        <w:t xml:space="preserve"> fourth</w:t>
      </w:r>
      <w:r w:rsidR="00A404DE">
        <w:t xml:space="preserve"> applicant as an informant. I</w:t>
      </w:r>
      <w:r w:rsidR="0094294F">
        <w:t>t was a common practice for the police not to prosecute such people in exchange for the information they gave.</w:t>
      </w:r>
    </w:p>
    <w:p w:rsidR="0094294F" w:rsidRDefault="00555E80" w:rsidP="0094294F">
      <w:pPr>
        <w:pStyle w:val="JuPara"/>
      </w:pPr>
      <w:r>
        <w:fldChar w:fldCharType="begin"/>
      </w:r>
      <w:r>
        <w:instrText xml:space="preserve"> SEQ level0 \*arabic </w:instrText>
      </w:r>
      <w:r>
        <w:fldChar w:fldCharType="separate"/>
      </w:r>
      <w:r w:rsidR="00517F95">
        <w:rPr>
          <w:noProof/>
        </w:rPr>
        <w:t>186</w:t>
      </w:r>
      <w:r>
        <w:rPr>
          <w:noProof/>
        </w:rPr>
        <w:fldChar w:fldCharType="end"/>
      </w:r>
      <w:r w:rsidR="008F3694">
        <w:t>.</w:t>
      </w:r>
      <w:r w:rsidR="007A61E7">
        <w:t>  </w:t>
      </w:r>
      <w:r w:rsidR="0094294F">
        <w:t>Third, it was extremely</w:t>
      </w:r>
      <w:r w:rsidR="00605FCC">
        <w:t xml:space="preserve"> un</w:t>
      </w:r>
      <w:r w:rsidR="0094294F">
        <w:t xml:space="preserve">likely that </w:t>
      </w:r>
      <w:r w:rsidR="00A404DE">
        <w:t xml:space="preserve">the </w:t>
      </w:r>
      <w:r w:rsidR="0094294F">
        <w:t xml:space="preserve">suicide bombers would have </w:t>
      </w:r>
      <w:r w:rsidR="00605FCC">
        <w:t xml:space="preserve">had </w:t>
      </w:r>
      <w:r w:rsidR="0094294F">
        <w:t>a back-up plan if their original plan did not work</w:t>
      </w:r>
      <w:r w:rsidR="00605FCC">
        <w:t xml:space="preserve">. The </w:t>
      </w:r>
      <w:r w:rsidR="0094294F">
        <w:t>threat</w:t>
      </w:r>
      <w:r w:rsidR="00605FCC">
        <w:t xml:space="preserve"> to the public that was alleged to stem from the possibility of </w:t>
      </w:r>
      <w:r w:rsidR="0094294F">
        <w:t xml:space="preserve">a back-up plan was </w:t>
      </w:r>
      <w:r w:rsidR="00963F9A">
        <w:t xml:space="preserve">not </w:t>
      </w:r>
      <w:r w:rsidR="0094294F">
        <w:t>an excuse for the breach of the</w:t>
      </w:r>
      <w:r w:rsidR="002A4698">
        <w:t xml:space="preserve"> fourth</w:t>
      </w:r>
      <w:r w:rsidR="0094294F">
        <w:t xml:space="preserve"> applicant</w:t>
      </w:r>
      <w:r w:rsidR="005E7B7A">
        <w:t>’</w:t>
      </w:r>
      <w:r w:rsidR="0094294F">
        <w:t>s rights. This was, in any event, inconsistent with the prosecution</w:t>
      </w:r>
      <w:r w:rsidR="005E7B7A">
        <w:t>’</w:t>
      </w:r>
      <w:r w:rsidR="0094294F">
        <w:t xml:space="preserve">s case (both at the </w:t>
      </w:r>
      <w:r w:rsidR="008A3875">
        <w:t xml:space="preserve">fourth </w:t>
      </w:r>
      <w:r w:rsidR="0094294F">
        <w:t>applicant</w:t>
      </w:r>
      <w:r w:rsidR="005E7B7A">
        <w:t>’</w:t>
      </w:r>
      <w:r w:rsidR="0094294F">
        <w:t>s trial and at the trial of the bombers themselves) that there was no such back-up plan.</w:t>
      </w:r>
    </w:p>
    <w:p w:rsidR="0094294F" w:rsidRDefault="00555E80" w:rsidP="0094294F">
      <w:pPr>
        <w:pStyle w:val="JuPara"/>
      </w:pPr>
      <w:r>
        <w:fldChar w:fldCharType="begin"/>
      </w:r>
      <w:r>
        <w:instrText xml:space="preserve"> SEQ level0 \*arabic </w:instrText>
      </w:r>
      <w:r>
        <w:fldChar w:fldCharType="separate"/>
      </w:r>
      <w:r w:rsidR="00517F95">
        <w:rPr>
          <w:noProof/>
        </w:rPr>
        <w:t>187</w:t>
      </w:r>
      <w:r>
        <w:rPr>
          <w:noProof/>
        </w:rPr>
        <w:fldChar w:fldCharType="end"/>
      </w:r>
      <w:r w:rsidR="008F3694">
        <w:t>.</w:t>
      </w:r>
      <w:r w:rsidR="007A61E7">
        <w:t>  </w:t>
      </w:r>
      <w:r w:rsidR="0094294F">
        <w:t xml:space="preserve">Fourth, if the overwhelming priority of the police was to obtain information as to the three suspected bombers, then their interrogation of the </w:t>
      </w:r>
      <w:r w:rsidR="004A3819">
        <w:t xml:space="preserve">fourth </w:t>
      </w:r>
      <w:r w:rsidR="0094294F">
        <w:t>applicant should hav</w:t>
      </w:r>
      <w:r w:rsidR="00605FCC">
        <w:t xml:space="preserve">e focused solely on this issue. </w:t>
      </w:r>
      <w:r w:rsidR="0094294F">
        <w:t xml:space="preserve">However, the interrogation went far beyond this and delved into the state of mind of the </w:t>
      </w:r>
      <w:r w:rsidR="008A3875">
        <w:t xml:space="preserve">fourth </w:t>
      </w:r>
      <w:r w:rsidR="0094294F">
        <w:t>applicant, his motivation and the detail</w:t>
      </w:r>
      <w:r w:rsidR="00CC682D">
        <w:t>s</w:t>
      </w:r>
      <w:r w:rsidR="0094294F">
        <w:t xml:space="preserve"> of any assistance he might have given </w:t>
      </w:r>
      <w:r w:rsidR="00605FCC">
        <w:t xml:space="preserve">Mr </w:t>
      </w:r>
      <w:r w:rsidR="006D0455">
        <w:t>Osman.</w:t>
      </w:r>
    </w:p>
    <w:bookmarkStart w:id="129" w:name="abdufaitaccompli"/>
    <w:p w:rsidR="003068DC" w:rsidRDefault="0082058A" w:rsidP="003068DC">
      <w:pPr>
        <w:pStyle w:val="JuPara"/>
      </w:pPr>
      <w:r>
        <w:fldChar w:fldCharType="begin"/>
      </w:r>
      <w:r w:rsidR="00C04CCA">
        <w:instrText xml:space="preserve"> SEQ level0 \*arabic </w:instrText>
      </w:r>
      <w:r>
        <w:fldChar w:fldCharType="separate"/>
      </w:r>
      <w:r w:rsidR="00517F95">
        <w:rPr>
          <w:noProof/>
        </w:rPr>
        <w:t>188</w:t>
      </w:r>
      <w:r>
        <w:rPr>
          <w:noProof/>
        </w:rPr>
        <w:fldChar w:fldCharType="end"/>
      </w:r>
      <w:bookmarkEnd w:id="129"/>
      <w:r w:rsidR="0094294F">
        <w:t>.</w:t>
      </w:r>
      <w:r w:rsidR="007A61E7">
        <w:t>  </w:t>
      </w:r>
      <w:r w:rsidR="00D624C9">
        <w:t>The fourth applicant also submitted that t</w:t>
      </w:r>
      <w:r w:rsidR="0094294F">
        <w:t xml:space="preserve">he initial breach of the right not to incriminate himself </w:t>
      </w:r>
      <w:r w:rsidR="00605FCC">
        <w:t>irretrievably prejudiced his Article 6 rights</w:t>
      </w:r>
      <w:r w:rsidR="0094294F">
        <w:t xml:space="preserve">. The post-caution interview was contaminated by the pre-caution interviews and, once arrested, the </w:t>
      </w:r>
      <w:r w:rsidR="008F3694">
        <w:t xml:space="preserve">fourth </w:t>
      </w:r>
      <w:r w:rsidR="0094294F">
        <w:t xml:space="preserve">applicant </w:t>
      </w:r>
      <w:r w:rsidR="008F3694">
        <w:t xml:space="preserve">had </w:t>
      </w:r>
      <w:r w:rsidR="0094294F">
        <w:t xml:space="preserve">immediately retracted parts of the witness statement. </w:t>
      </w:r>
      <w:r w:rsidR="003068DC">
        <w:t>In any case, o</w:t>
      </w:r>
      <w:r w:rsidR="0094294F">
        <w:t>nce the prosecution sought to use the statement at trial, it made no differen</w:t>
      </w:r>
      <w:r w:rsidR="00605FCC">
        <w:t>ce</w:t>
      </w:r>
      <w:r w:rsidR="0094294F">
        <w:t xml:space="preserve"> whether the </w:t>
      </w:r>
      <w:r w:rsidR="004A3819">
        <w:t xml:space="preserve">fourth </w:t>
      </w:r>
      <w:r w:rsidR="0094294F">
        <w:t xml:space="preserve">applicant relied on the police statement or not: the prejudice had already occurred. </w:t>
      </w:r>
      <w:r w:rsidR="003068DC">
        <w:t>A</w:t>
      </w:r>
      <w:r w:rsidR="0094294F">
        <w:t>t trial, he had sought unsuccessfully to challenge the admission of the statement. When that application was refused, a further application to exclude certain parts of the statement on the basis of inaccuracy was made. That application was also refused. At this point, the</w:t>
      </w:r>
      <w:r w:rsidR="008F3694">
        <w:t xml:space="preserve"> fourth</w:t>
      </w:r>
      <w:r w:rsidR="0094294F">
        <w:t xml:space="preserve"> applicant was presented with a </w:t>
      </w:r>
      <w:r w:rsidR="0094294F" w:rsidRPr="003068DC">
        <w:rPr>
          <w:i/>
        </w:rPr>
        <w:t>fait accompli</w:t>
      </w:r>
      <w:r w:rsidR="0094294F">
        <w:t>; his only choice was to highlight certain aspects of the statement that could be regarded as favourable to his case, even though that statement remained evidence for the prosecution, not the defe</w:t>
      </w:r>
      <w:r w:rsidR="006D0455">
        <w:t>nce.</w:t>
      </w:r>
    </w:p>
    <w:p w:rsidR="0094294F" w:rsidRDefault="00555E80" w:rsidP="003068DC">
      <w:pPr>
        <w:pStyle w:val="JuPara"/>
      </w:pPr>
      <w:r>
        <w:fldChar w:fldCharType="begin"/>
      </w:r>
      <w:r>
        <w:instrText xml:space="preserve"> SEQ level0 \*arabic </w:instrText>
      </w:r>
      <w:r>
        <w:fldChar w:fldCharType="separate"/>
      </w:r>
      <w:r w:rsidR="00517F95">
        <w:rPr>
          <w:noProof/>
        </w:rPr>
        <w:t>189</w:t>
      </w:r>
      <w:r>
        <w:rPr>
          <w:noProof/>
        </w:rPr>
        <w:fldChar w:fldCharType="end"/>
      </w:r>
      <w:r w:rsidR="003068DC">
        <w:t>.</w:t>
      </w:r>
      <w:r w:rsidR="007A61E7">
        <w:t>  </w:t>
      </w:r>
      <w:r w:rsidR="00166E9C">
        <w:t xml:space="preserve">The </w:t>
      </w:r>
      <w:r w:rsidR="008F3694">
        <w:t xml:space="preserve">fourth </w:t>
      </w:r>
      <w:r w:rsidR="00166E9C">
        <w:t xml:space="preserve">applicant also disputed </w:t>
      </w:r>
      <w:r w:rsidR="0094294F">
        <w:t>the Government</w:t>
      </w:r>
      <w:r w:rsidR="005E7B7A">
        <w:t>’</w:t>
      </w:r>
      <w:r w:rsidR="0094294F">
        <w:t xml:space="preserve">s submission that there </w:t>
      </w:r>
      <w:r w:rsidR="00B17A52">
        <w:t xml:space="preserve">was </w:t>
      </w:r>
      <w:r w:rsidR="0094294F">
        <w:t xml:space="preserve">a vast amount of evidence </w:t>
      </w:r>
      <w:r w:rsidR="00A404DE">
        <w:t>against him. He considered that the prosecution case</w:t>
      </w:r>
      <w:r w:rsidR="0094294F">
        <w:t xml:space="preserve"> was based substantially on </w:t>
      </w:r>
      <w:r w:rsidR="00A404DE">
        <w:t>his</w:t>
      </w:r>
      <w:r w:rsidR="0094294F">
        <w:t xml:space="preserve"> statement and without it there was insufficient evidence to support a conviction. </w:t>
      </w:r>
      <w:r w:rsidR="00963F9A">
        <w:t>W</w:t>
      </w:r>
      <w:r w:rsidR="0094294F">
        <w:t xml:space="preserve">hen proper </w:t>
      </w:r>
      <w:r w:rsidR="0094294F">
        <w:lastRenderedPageBreak/>
        <w:t>consideration was given to the entirety of the proceedings</w:t>
      </w:r>
      <w:r w:rsidR="008F3694">
        <w:t xml:space="preserve"> </w:t>
      </w:r>
      <w:r w:rsidR="0094294F">
        <w:t>there was insufficient justification for the use of the statement at trial, rendering the trial unfair.</w:t>
      </w:r>
    </w:p>
    <w:p w:rsidR="007F0F55" w:rsidRDefault="00555E80" w:rsidP="0094294F">
      <w:pPr>
        <w:pStyle w:val="JuPara"/>
      </w:pPr>
      <w:r>
        <w:fldChar w:fldCharType="begin"/>
      </w:r>
      <w:r>
        <w:instrText xml:space="preserve"> SEQ level0 \*arabic </w:instrText>
      </w:r>
      <w:r>
        <w:fldChar w:fldCharType="separate"/>
      </w:r>
      <w:r w:rsidR="00517F95">
        <w:rPr>
          <w:noProof/>
        </w:rPr>
        <w:t>190</w:t>
      </w:r>
      <w:r>
        <w:rPr>
          <w:noProof/>
        </w:rPr>
        <w:fldChar w:fldCharType="end"/>
      </w:r>
      <w:r w:rsidR="0094294F">
        <w:t>.</w:t>
      </w:r>
      <w:r w:rsidR="007A61E7">
        <w:t>  </w:t>
      </w:r>
      <w:r w:rsidR="008F3694">
        <w:t>Finally, t</w:t>
      </w:r>
      <w:r w:rsidR="0094294F">
        <w:t>he distinctions draw</w:t>
      </w:r>
      <w:r w:rsidR="00A404DE">
        <w:t>n</w:t>
      </w:r>
      <w:r w:rsidR="0094294F">
        <w:t xml:space="preserve"> by the Government between his case and </w:t>
      </w:r>
      <w:r w:rsidR="0094294F" w:rsidRPr="008F3694">
        <w:rPr>
          <w:i/>
        </w:rPr>
        <w:t>Amutgan</w:t>
      </w:r>
      <w:r w:rsidR="008F3694">
        <w:t xml:space="preserve">, cited above, </w:t>
      </w:r>
      <w:r w:rsidR="0094294F">
        <w:t xml:space="preserve">were flawed. First, </w:t>
      </w:r>
      <w:r w:rsidR="002A4698">
        <w:t xml:space="preserve">he had </w:t>
      </w:r>
      <w:r w:rsidR="00A404DE">
        <w:t xml:space="preserve">effectively </w:t>
      </w:r>
      <w:r w:rsidR="002A4698">
        <w:t>been</w:t>
      </w:r>
      <w:r w:rsidR="0094294F">
        <w:t xml:space="preserve"> detained and denied eight hours</w:t>
      </w:r>
      <w:r w:rsidR="005E7B7A">
        <w:t>’</w:t>
      </w:r>
      <w:r w:rsidR="0094294F">
        <w:t xml:space="preserve"> sleep.</w:t>
      </w:r>
      <w:r w:rsidR="00BB1775">
        <w:t xml:space="preserve"> </w:t>
      </w:r>
      <w:r w:rsidR="0094294F">
        <w:t xml:space="preserve">Second, there was insufficient justification for the deliberate breach of his rights. Whether there was systemic basis for that breach could not be decisive of whether his right to a fair trial had been violated. There was no basis for stating that, in </w:t>
      </w:r>
      <w:r w:rsidR="008F3694" w:rsidRPr="008F3694">
        <w:rPr>
          <w:i/>
        </w:rPr>
        <w:t>Aleksandr Zaichenko</w:t>
      </w:r>
      <w:r w:rsidR="008F3694" w:rsidRPr="008F3694">
        <w:t xml:space="preserve"> </w:t>
      </w:r>
      <w:r w:rsidR="0094294F">
        <w:t xml:space="preserve">or </w:t>
      </w:r>
      <w:r w:rsidR="0094294F" w:rsidRPr="008F3694">
        <w:rPr>
          <w:i/>
        </w:rPr>
        <w:t>Salduz</w:t>
      </w:r>
      <w:r w:rsidR="0094294F">
        <w:t>, the main reasons for the findings of violations were the domestic courts</w:t>
      </w:r>
      <w:r w:rsidR="005E7B7A">
        <w:t>’</w:t>
      </w:r>
      <w:r w:rsidR="0094294F">
        <w:t xml:space="preserve"> failures properly to address the question of admissibility or </w:t>
      </w:r>
      <w:r w:rsidR="002A4698">
        <w:t xml:space="preserve">to </w:t>
      </w:r>
      <w:r w:rsidR="0094294F">
        <w:t>give reasons for relying on the statements in question.</w:t>
      </w:r>
    </w:p>
    <w:p w:rsidR="00BE4228" w:rsidRDefault="00BE4228" w:rsidP="00BE4228">
      <w:pPr>
        <w:pStyle w:val="ECHRHeading3"/>
      </w:pPr>
      <w:r>
        <w:t>3.</w:t>
      </w:r>
      <w:r w:rsidR="007A61E7">
        <w:t>  </w:t>
      </w:r>
      <w:r>
        <w:t>The Court</w:t>
      </w:r>
      <w:r w:rsidR="005E7B7A">
        <w:t>’</w:t>
      </w:r>
      <w:r>
        <w:t>s assessment</w:t>
      </w:r>
    </w:p>
    <w:p w:rsidR="00560D3E" w:rsidRDefault="00786B58" w:rsidP="00BE4228">
      <w:pPr>
        <w:pStyle w:val="ECHRHeading4"/>
      </w:pPr>
      <w:r>
        <w:t>(a)</w:t>
      </w:r>
      <w:r w:rsidR="007A61E7">
        <w:t>  </w:t>
      </w:r>
      <w:r w:rsidR="00BE4228">
        <w:t>General principles</w:t>
      </w:r>
    </w:p>
    <w:bookmarkStart w:id="130" w:name="LGPsintro"/>
    <w:p w:rsidR="008A28AA" w:rsidRDefault="0082058A" w:rsidP="00A1687A">
      <w:pPr>
        <w:pStyle w:val="JuPara"/>
      </w:pPr>
      <w:r>
        <w:rPr>
          <w:rStyle w:val="sb8d990e2"/>
        </w:rPr>
        <w:fldChar w:fldCharType="begin"/>
      </w:r>
      <w:r w:rsidR="00865D5B">
        <w:rPr>
          <w:rStyle w:val="sb8d990e2"/>
        </w:rPr>
        <w:instrText xml:space="preserve"> SEQ level0 \*arabic </w:instrText>
      </w:r>
      <w:r>
        <w:rPr>
          <w:rStyle w:val="sb8d990e2"/>
        </w:rPr>
        <w:fldChar w:fldCharType="separate"/>
      </w:r>
      <w:r w:rsidR="00517F95">
        <w:rPr>
          <w:rStyle w:val="sb8d990e2"/>
          <w:noProof/>
        </w:rPr>
        <w:t>191</w:t>
      </w:r>
      <w:r>
        <w:rPr>
          <w:rStyle w:val="sb8d990e2"/>
        </w:rPr>
        <w:fldChar w:fldCharType="end"/>
      </w:r>
      <w:bookmarkEnd w:id="130"/>
      <w:r w:rsidR="00865D5B">
        <w:rPr>
          <w:rStyle w:val="sb8d990e2"/>
        </w:rPr>
        <w:t>.  The Court</w:t>
      </w:r>
      <w:r w:rsidR="005E7B7A">
        <w:rPr>
          <w:rStyle w:val="sb8d990e2"/>
        </w:rPr>
        <w:t>’</w:t>
      </w:r>
      <w:r w:rsidR="00865D5B">
        <w:rPr>
          <w:rStyle w:val="sb8d990e2"/>
        </w:rPr>
        <w:t xml:space="preserve">s primary concern under Article 6 § 1 is to evaluate the overall fairness of the criminal proceedings (see </w:t>
      </w:r>
      <w:r w:rsidR="00865D5B" w:rsidRPr="0050162B">
        <w:rPr>
          <w:i/>
        </w:rPr>
        <w:t>Imbrioscia v. Switzerland</w:t>
      </w:r>
      <w:r w:rsidR="00865D5B" w:rsidRPr="0050162B">
        <w:t xml:space="preserve">, 24 November 1993, § </w:t>
      </w:r>
      <w:r w:rsidR="00865D5B">
        <w:t>38</w:t>
      </w:r>
      <w:r w:rsidR="00865D5B" w:rsidRPr="0050162B">
        <w:t>, Series A no. 275</w:t>
      </w:r>
      <w:r w:rsidR="00865D5B">
        <w:t>;</w:t>
      </w:r>
      <w:r w:rsidR="00865D5B">
        <w:rPr>
          <w:rStyle w:val="sb8d990e2"/>
        </w:rPr>
        <w:t xml:space="preserve"> </w:t>
      </w:r>
      <w:r w:rsidR="00865D5B" w:rsidRPr="0050162B">
        <w:rPr>
          <w:rStyle w:val="s6b621b36"/>
          <w:i/>
        </w:rPr>
        <w:t>Taxquet v. Belgium</w:t>
      </w:r>
      <w:r w:rsidR="00865D5B">
        <w:rPr>
          <w:rStyle w:val="sb8d990e2"/>
        </w:rPr>
        <w:t xml:space="preserve"> [GC], no. </w:t>
      </w:r>
      <w:r w:rsidR="008A28AA" w:rsidRPr="008A28AA">
        <w:rPr>
          <w:rStyle w:val="sb8d990e2"/>
        </w:rPr>
        <w:t>926/05</w:t>
      </w:r>
      <w:r w:rsidR="00865D5B">
        <w:rPr>
          <w:rStyle w:val="sb8d990e2"/>
        </w:rPr>
        <w:t xml:space="preserve">, § 84, 16 November 2010; and </w:t>
      </w:r>
      <w:r w:rsidR="00865D5B" w:rsidRPr="0050162B">
        <w:rPr>
          <w:i/>
          <w:lang w:val="en-US"/>
        </w:rPr>
        <w:t>Bandaletov v. Ukraine,</w:t>
      </w:r>
      <w:r w:rsidR="00865D5B">
        <w:rPr>
          <w:lang w:val="en-US"/>
        </w:rPr>
        <w:t xml:space="preserve"> no. </w:t>
      </w:r>
      <w:r w:rsidR="00865D5B" w:rsidRPr="0050162B">
        <w:rPr>
          <w:lang w:val="en-US"/>
        </w:rPr>
        <w:t>23180/06</w:t>
      </w:r>
      <w:r w:rsidR="00865D5B" w:rsidRPr="0050162B">
        <w:rPr>
          <w:snapToGrid w:val="0"/>
          <w:lang w:val="en-US"/>
        </w:rPr>
        <w:t xml:space="preserve">, § </w:t>
      </w:r>
      <w:r w:rsidR="00865D5B">
        <w:rPr>
          <w:snapToGrid w:val="0"/>
          <w:lang w:val="en-US"/>
        </w:rPr>
        <w:t>54</w:t>
      </w:r>
      <w:r w:rsidR="00865D5B" w:rsidRPr="0050162B">
        <w:rPr>
          <w:snapToGrid w:val="0"/>
          <w:lang w:val="en-US"/>
        </w:rPr>
        <w:t>, 31 October 2013</w:t>
      </w:r>
      <w:r w:rsidR="00B359EE">
        <w:rPr>
          <w:rStyle w:val="sb8d990e2"/>
        </w:rPr>
        <w:t xml:space="preserve">). </w:t>
      </w:r>
      <w:r w:rsidR="00865D5B">
        <w:rPr>
          <w:rStyle w:val="sb8d990e2"/>
        </w:rPr>
        <w:t xml:space="preserve">The guarantees in paragraph 3 of Article 6 are specific aspects of the right to a fair hearing set forth in Article 6 § 1 which must be taken into account in </w:t>
      </w:r>
      <w:r w:rsidR="00CA7465">
        <w:rPr>
          <w:rStyle w:val="sb8d990e2"/>
        </w:rPr>
        <w:t>that evaluation</w:t>
      </w:r>
      <w:r w:rsidR="00865D5B">
        <w:rPr>
          <w:rStyle w:val="sb8d990e2"/>
        </w:rPr>
        <w:t xml:space="preserve"> (see </w:t>
      </w:r>
      <w:r w:rsidR="00865D5B" w:rsidRPr="0050162B">
        <w:rPr>
          <w:rStyle w:val="sb8d990e2"/>
          <w:i/>
        </w:rPr>
        <w:t>Imbrioscia</w:t>
      </w:r>
      <w:r w:rsidR="00865D5B">
        <w:rPr>
          <w:rStyle w:val="sb8d990e2"/>
        </w:rPr>
        <w:t xml:space="preserve">, cited above, § 37; </w:t>
      </w:r>
      <w:r w:rsidR="00865D5B" w:rsidRPr="00865D5B">
        <w:rPr>
          <w:i/>
        </w:rPr>
        <w:t>Gäfgen v. Germany</w:t>
      </w:r>
      <w:r w:rsidR="00865D5B" w:rsidRPr="00865D5B">
        <w:t xml:space="preserve"> [GC], no. 22978/05, § </w:t>
      </w:r>
      <w:r w:rsidR="00865D5B">
        <w:t>169</w:t>
      </w:r>
      <w:r w:rsidR="00B34516">
        <w:t>, ECHR </w:t>
      </w:r>
      <w:r w:rsidR="00865D5B" w:rsidRPr="00865D5B">
        <w:t>2010</w:t>
      </w:r>
      <w:r w:rsidR="00865D5B">
        <w:t xml:space="preserve">; </w:t>
      </w:r>
      <w:r w:rsidR="00865D5B" w:rsidRPr="00F6105F">
        <w:rPr>
          <w:i/>
        </w:rPr>
        <w:t xml:space="preserve">Sakhnovskiy v. Russia </w:t>
      </w:r>
      <w:r w:rsidR="006D0455">
        <w:t xml:space="preserve">[GC], no. </w:t>
      </w:r>
      <w:r w:rsidR="00865D5B" w:rsidRPr="00F6105F">
        <w:t>21272/03</w:t>
      </w:r>
      <w:r w:rsidR="00865D5B" w:rsidRPr="00F6105F">
        <w:rPr>
          <w:szCs w:val="24"/>
        </w:rPr>
        <w:t xml:space="preserve">, § </w:t>
      </w:r>
      <w:r w:rsidR="00865D5B">
        <w:rPr>
          <w:szCs w:val="24"/>
        </w:rPr>
        <w:t>94</w:t>
      </w:r>
      <w:r w:rsidR="00865D5B" w:rsidRPr="00F6105F">
        <w:rPr>
          <w:szCs w:val="24"/>
        </w:rPr>
        <w:t>, 2</w:t>
      </w:r>
      <w:r w:rsidR="00865D5B" w:rsidRPr="00F6105F">
        <w:rPr>
          <w:snapToGrid w:val="0"/>
          <w:szCs w:val="24"/>
        </w:rPr>
        <w:t xml:space="preserve"> </w:t>
      </w:r>
      <w:r w:rsidR="00865D5B" w:rsidRPr="00F6105F">
        <w:rPr>
          <w:szCs w:val="24"/>
        </w:rPr>
        <w:t xml:space="preserve">November </w:t>
      </w:r>
      <w:r w:rsidR="00865D5B" w:rsidRPr="00F6105F">
        <w:rPr>
          <w:snapToGrid w:val="0"/>
          <w:szCs w:val="24"/>
        </w:rPr>
        <w:t>2010</w:t>
      </w:r>
      <w:r w:rsidR="00A021B3">
        <w:rPr>
          <w:snapToGrid w:val="0"/>
          <w:szCs w:val="24"/>
        </w:rPr>
        <w:t xml:space="preserve">; and </w:t>
      </w:r>
      <w:r w:rsidR="00A021B3" w:rsidRPr="0050162B">
        <w:rPr>
          <w:i/>
          <w:lang w:val="en-US"/>
        </w:rPr>
        <w:t>Bandaletov</w:t>
      </w:r>
      <w:r w:rsidR="00A021B3">
        <w:rPr>
          <w:lang w:val="en-US"/>
        </w:rPr>
        <w:t>, cited above, § 54</w:t>
      </w:r>
      <w:r w:rsidR="00865D5B">
        <w:rPr>
          <w:rStyle w:val="sb8d990e2"/>
        </w:rPr>
        <w:t xml:space="preserve">). </w:t>
      </w:r>
      <w:r w:rsidR="00865D5B">
        <w:rPr>
          <w:rStyle w:val="wordhighlighted"/>
        </w:rPr>
        <w:t>The</w:t>
      </w:r>
      <w:r w:rsidR="008A28AA">
        <w:rPr>
          <w:rStyle w:val="wordhighlighted"/>
        </w:rPr>
        <w:t>ir</w:t>
      </w:r>
      <w:r w:rsidR="00865D5B">
        <w:rPr>
          <w:rStyle w:val="sb8d990e2"/>
        </w:rPr>
        <w:t xml:space="preserve"> </w:t>
      </w:r>
      <w:r w:rsidR="00865D5B">
        <w:rPr>
          <w:rStyle w:val="wordhighlighted"/>
        </w:rPr>
        <w:t>intrinsic</w:t>
      </w:r>
      <w:r w:rsidR="00865D5B">
        <w:rPr>
          <w:rStyle w:val="sb8d990e2"/>
        </w:rPr>
        <w:t xml:space="preserve"> </w:t>
      </w:r>
      <w:r w:rsidR="00865D5B">
        <w:rPr>
          <w:rStyle w:val="wordhighlighted"/>
        </w:rPr>
        <w:t xml:space="preserve">aim </w:t>
      </w:r>
      <w:r w:rsidR="00865D5B">
        <w:rPr>
          <w:rStyle w:val="sb8d990e2"/>
        </w:rPr>
        <w:t>is to contri</w:t>
      </w:r>
      <w:r w:rsidR="00865D5B">
        <w:rPr>
          <w:rStyle w:val="wordhighlighted"/>
        </w:rPr>
        <w:t>but</w:t>
      </w:r>
      <w:r w:rsidR="00865D5B">
        <w:rPr>
          <w:rStyle w:val="sb8d990e2"/>
        </w:rPr>
        <w:t xml:space="preserve">e to </w:t>
      </w:r>
      <w:r w:rsidR="00865D5B">
        <w:rPr>
          <w:rStyle w:val="wordhighlighted"/>
        </w:rPr>
        <w:t>ensuring</w:t>
      </w:r>
      <w:r w:rsidR="00865D5B">
        <w:rPr>
          <w:rStyle w:val="sb8d990e2"/>
        </w:rPr>
        <w:t xml:space="preserve"> </w:t>
      </w:r>
      <w:r w:rsidR="00865D5B">
        <w:rPr>
          <w:rStyle w:val="wordhighlighted"/>
        </w:rPr>
        <w:t>the</w:t>
      </w:r>
      <w:r w:rsidR="00865D5B">
        <w:rPr>
          <w:rStyle w:val="sb8d990e2"/>
        </w:rPr>
        <w:t xml:space="preserve"> </w:t>
      </w:r>
      <w:r w:rsidR="00865D5B">
        <w:rPr>
          <w:rStyle w:val="wordhighlighted"/>
        </w:rPr>
        <w:t>fair</w:t>
      </w:r>
      <w:r w:rsidR="00865D5B">
        <w:rPr>
          <w:rStyle w:val="sb8d990e2"/>
        </w:rPr>
        <w:t xml:space="preserve">ness of </w:t>
      </w:r>
      <w:r w:rsidR="00865D5B">
        <w:rPr>
          <w:rStyle w:val="wordhighlighted"/>
        </w:rPr>
        <w:t>the</w:t>
      </w:r>
      <w:r w:rsidR="00865D5B">
        <w:rPr>
          <w:rStyle w:val="sb8d990e2"/>
        </w:rPr>
        <w:t xml:space="preserve"> </w:t>
      </w:r>
      <w:r w:rsidR="00865D5B">
        <w:rPr>
          <w:rStyle w:val="wordhighlighted"/>
        </w:rPr>
        <w:t>criminal</w:t>
      </w:r>
      <w:r w:rsidR="00865D5B">
        <w:rPr>
          <w:rStyle w:val="sb8d990e2"/>
        </w:rPr>
        <w:t xml:space="preserve"> </w:t>
      </w:r>
      <w:r w:rsidR="00865D5B">
        <w:rPr>
          <w:rStyle w:val="wordhighlighted"/>
        </w:rPr>
        <w:t>proceedings</w:t>
      </w:r>
      <w:r w:rsidR="00865D5B">
        <w:rPr>
          <w:rStyle w:val="sb8d990e2"/>
        </w:rPr>
        <w:t xml:space="preserve"> as a </w:t>
      </w:r>
      <w:r w:rsidR="00865D5B">
        <w:rPr>
          <w:rStyle w:val="wordhighlighted"/>
        </w:rPr>
        <w:t>whole</w:t>
      </w:r>
      <w:r w:rsidR="00CA7465">
        <w:rPr>
          <w:rStyle w:val="wordhighlighted"/>
        </w:rPr>
        <w:t xml:space="preserve"> (see </w:t>
      </w:r>
      <w:r w:rsidR="00CA7465">
        <w:rPr>
          <w:i/>
        </w:rPr>
        <w:t>Mayzit v. </w:t>
      </w:r>
      <w:r w:rsidR="00CA7465" w:rsidRPr="005D4534">
        <w:rPr>
          <w:i/>
        </w:rPr>
        <w:t>Russia</w:t>
      </w:r>
      <w:r w:rsidR="00CA7465" w:rsidRPr="005D4534">
        <w:t>, no.</w:t>
      </w:r>
      <w:r w:rsidR="006D0455">
        <w:t xml:space="preserve"> </w:t>
      </w:r>
      <w:r w:rsidR="00CA7465" w:rsidRPr="005D4534">
        <w:t xml:space="preserve">63378/00, § </w:t>
      </w:r>
      <w:r w:rsidR="00CA7465">
        <w:t>77</w:t>
      </w:r>
      <w:r w:rsidR="00CA7465" w:rsidRPr="005D4534">
        <w:t>, 20 January 2005</w:t>
      </w:r>
      <w:r w:rsidR="00CA7465">
        <w:t xml:space="preserve">; and </w:t>
      </w:r>
      <w:r w:rsidR="00CA7465" w:rsidRPr="00AB3610">
        <w:rPr>
          <w:i/>
        </w:rPr>
        <w:t>Seleznev v. Russia</w:t>
      </w:r>
      <w:r w:rsidR="002B6673" w:rsidRPr="00AB3610">
        <w:t>, no. </w:t>
      </w:r>
      <w:r w:rsidR="00CA7465" w:rsidRPr="00AB3610">
        <w:t>15591/03, § 67, 26 June 2008)</w:t>
      </w:r>
      <w:r w:rsidR="00865D5B">
        <w:rPr>
          <w:rStyle w:val="wordhighlighted"/>
        </w:rPr>
        <w:t>.</w:t>
      </w:r>
      <w:r w:rsidR="00865D5B">
        <w:rPr>
          <w:rStyle w:val="sb8d990e2"/>
        </w:rPr>
        <w:t xml:space="preserve"> </w:t>
      </w:r>
      <w:r w:rsidR="002B6673">
        <w:rPr>
          <w:rStyle w:val="sb8d990e2"/>
        </w:rPr>
        <w:t>But they are not an end in themselves: c</w:t>
      </w:r>
      <w:r w:rsidR="00CA7465" w:rsidRPr="00CA7465">
        <w:rPr>
          <w:rStyle w:val="sb8d990e2"/>
        </w:rPr>
        <w:t xml:space="preserve">ompliance with the requirements of </w:t>
      </w:r>
      <w:r w:rsidR="002B6673">
        <w:rPr>
          <w:rStyle w:val="sb8d990e2"/>
        </w:rPr>
        <w:t xml:space="preserve">a </w:t>
      </w:r>
      <w:r w:rsidR="00CA7465" w:rsidRPr="00CA7465">
        <w:rPr>
          <w:rStyle w:val="sb8d990e2"/>
        </w:rPr>
        <w:t>fair trial must be examined in each case having regard to the development of the proceedings as a whole</w:t>
      </w:r>
      <w:r w:rsidR="00CA7465">
        <w:rPr>
          <w:rStyle w:val="sb8d990e2"/>
        </w:rPr>
        <w:t>,</w:t>
      </w:r>
      <w:r w:rsidR="00CA7465" w:rsidRPr="00CA7465">
        <w:rPr>
          <w:rStyle w:val="sb8d990e2"/>
        </w:rPr>
        <w:t xml:space="preserve"> and not on the basis of the isolated consideration of one particular aspect </w:t>
      </w:r>
      <w:r w:rsidR="00CA7465">
        <w:rPr>
          <w:rStyle w:val="sb8d990e2"/>
        </w:rPr>
        <w:t xml:space="preserve">or </w:t>
      </w:r>
      <w:r w:rsidR="00CA7465" w:rsidRPr="00CA7465">
        <w:rPr>
          <w:rStyle w:val="sb8d990e2"/>
        </w:rPr>
        <w:t>incident</w:t>
      </w:r>
      <w:r w:rsidR="00CA7465">
        <w:rPr>
          <w:rStyle w:val="sb8d990e2"/>
        </w:rPr>
        <w:t xml:space="preserve"> (see </w:t>
      </w:r>
      <w:r w:rsidR="00CA7465">
        <w:rPr>
          <w:i/>
        </w:rPr>
        <w:t>Pishchalnikov v.</w:t>
      </w:r>
      <w:r w:rsidR="006D0455">
        <w:rPr>
          <w:i/>
        </w:rPr>
        <w:t xml:space="preserve"> </w:t>
      </w:r>
      <w:r w:rsidR="00CA7465" w:rsidRPr="00CA7465">
        <w:rPr>
          <w:i/>
        </w:rPr>
        <w:t>Russia</w:t>
      </w:r>
      <w:r w:rsidR="00CA7465" w:rsidRPr="00CA7465">
        <w:t>, no. 7025/04</w:t>
      </w:r>
      <w:r w:rsidR="00CA7465" w:rsidRPr="00CA7465">
        <w:rPr>
          <w:snapToGrid w:val="0"/>
        </w:rPr>
        <w:t xml:space="preserve">, § </w:t>
      </w:r>
      <w:r w:rsidR="00CA7465">
        <w:rPr>
          <w:snapToGrid w:val="0"/>
        </w:rPr>
        <w:t>64</w:t>
      </w:r>
      <w:r w:rsidR="00CA7465" w:rsidRPr="00CA7465">
        <w:rPr>
          <w:snapToGrid w:val="0"/>
        </w:rPr>
        <w:t>, 24 September 2009</w:t>
      </w:r>
      <w:r w:rsidR="00CA7465">
        <w:rPr>
          <w:snapToGrid w:val="0"/>
        </w:rPr>
        <w:t xml:space="preserve">. See also </w:t>
      </w:r>
      <w:r w:rsidR="00865D5B" w:rsidRPr="005D4534">
        <w:rPr>
          <w:i/>
        </w:rPr>
        <w:t>Mayzit</w:t>
      </w:r>
      <w:r w:rsidR="00865D5B" w:rsidRPr="005D4534">
        <w:t xml:space="preserve">, </w:t>
      </w:r>
      <w:r w:rsidR="00CA7465">
        <w:t xml:space="preserve">cited above, </w:t>
      </w:r>
      <w:r w:rsidR="00865D5B" w:rsidRPr="005D4534">
        <w:t xml:space="preserve">§ </w:t>
      </w:r>
      <w:r w:rsidR="00865D5B">
        <w:t xml:space="preserve">77; and </w:t>
      </w:r>
      <w:r w:rsidR="00CA7465" w:rsidRPr="00AB3610">
        <w:rPr>
          <w:i/>
        </w:rPr>
        <w:t>Seleznev</w:t>
      </w:r>
      <w:r w:rsidR="00865D5B" w:rsidRPr="00AB3610">
        <w:t xml:space="preserve">, </w:t>
      </w:r>
      <w:r w:rsidR="00CA7465" w:rsidRPr="00AB3610">
        <w:t>cited above</w:t>
      </w:r>
      <w:r w:rsidR="00865D5B" w:rsidRPr="00AB3610">
        <w:t>, § 67).</w:t>
      </w:r>
    </w:p>
    <w:bookmarkStart w:id="131" w:name="L192coercion"/>
    <w:p w:rsidR="00147B54" w:rsidRPr="00B248BA" w:rsidRDefault="00F67765" w:rsidP="00A1687A">
      <w:pPr>
        <w:pStyle w:val="JuPara"/>
        <w:rPr>
          <w:szCs w:val="24"/>
        </w:rPr>
      </w:pPr>
      <w:r w:rsidRPr="00B248BA">
        <w:rPr>
          <w:szCs w:val="24"/>
        </w:rPr>
        <w:fldChar w:fldCharType="begin"/>
      </w:r>
      <w:r w:rsidRPr="00B248BA">
        <w:rPr>
          <w:szCs w:val="24"/>
        </w:rPr>
        <w:instrText xml:space="preserve"> SEQ level0 \*arabic </w:instrText>
      </w:r>
      <w:r w:rsidRPr="00B248BA">
        <w:rPr>
          <w:szCs w:val="24"/>
        </w:rPr>
        <w:fldChar w:fldCharType="separate"/>
      </w:r>
      <w:r w:rsidR="00517F95">
        <w:rPr>
          <w:noProof/>
          <w:szCs w:val="24"/>
        </w:rPr>
        <w:t>192</w:t>
      </w:r>
      <w:r w:rsidRPr="00B248BA">
        <w:rPr>
          <w:szCs w:val="24"/>
        </w:rPr>
        <w:fldChar w:fldCharType="end"/>
      </w:r>
      <w:bookmarkEnd w:id="131"/>
      <w:r w:rsidRPr="00B248BA">
        <w:rPr>
          <w:szCs w:val="24"/>
        </w:rPr>
        <w:t>.  </w:t>
      </w:r>
      <w:r w:rsidR="00297C4C" w:rsidRPr="00B248BA">
        <w:rPr>
          <w:szCs w:val="24"/>
        </w:rPr>
        <w:t>The right to legal assistance contributes in particular to the protection of the accused against abusive coercion on the part of the authorities. It is a fundamental safeguard against ill-treatment (</w:t>
      </w:r>
      <w:r w:rsidR="00297C4C" w:rsidRPr="00B248BA">
        <w:rPr>
          <w:i/>
          <w:szCs w:val="24"/>
        </w:rPr>
        <w:t>Salduz</w:t>
      </w:r>
      <w:r w:rsidR="00297C4C" w:rsidRPr="00B248BA">
        <w:rPr>
          <w:szCs w:val="24"/>
        </w:rPr>
        <w:t xml:space="preserve">, cited above, §§ 53-54). Where an accused denied </w:t>
      </w:r>
      <w:r w:rsidRPr="00B248BA">
        <w:rPr>
          <w:szCs w:val="24"/>
        </w:rPr>
        <w:t xml:space="preserve">prompt </w:t>
      </w:r>
      <w:r w:rsidR="00297C4C" w:rsidRPr="00B248BA">
        <w:rPr>
          <w:szCs w:val="24"/>
        </w:rPr>
        <w:t xml:space="preserve">legal assistance alleges improper </w:t>
      </w:r>
      <w:r w:rsidR="003D1B82" w:rsidRPr="00B248BA">
        <w:rPr>
          <w:szCs w:val="24"/>
        </w:rPr>
        <w:t xml:space="preserve">conduct, notably </w:t>
      </w:r>
      <w:r w:rsidR="00297C4C" w:rsidRPr="00B248BA">
        <w:rPr>
          <w:szCs w:val="24"/>
        </w:rPr>
        <w:t>coercion or ill-treatment</w:t>
      </w:r>
      <w:r w:rsidR="00BE6067" w:rsidRPr="00B248BA">
        <w:rPr>
          <w:szCs w:val="24"/>
        </w:rPr>
        <w:t>,</w:t>
      </w:r>
      <w:r w:rsidR="00297C4C" w:rsidRPr="00B248BA">
        <w:rPr>
          <w:szCs w:val="24"/>
        </w:rPr>
        <w:t xml:space="preserve"> by the police</w:t>
      </w:r>
      <w:r w:rsidRPr="00B248BA">
        <w:rPr>
          <w:szCs w:val="24"/>
        </w:rPr>
        <w:t xml:space="preserve"> during interrogation</w:t>
      </w:r>
      <w:r w:rsidR="00297C4C" w:rsidRPr="00B248BA">
        <w:rPr>
          <w:szCs w:val="24"/>
        </w:rPr>
        <w:t xml:space="preserve">, the </w:t>
      </w:r>
      <w:r w:rsidR="00D05C61" w:rsidRPr="00B248BA">
        <w:rPr>
          <w:szCs w:val="24"/>
        </w:rPr>
        <w:t>most</w:t>
      </w:r>
      <w:r w:rsidR="00297C4C" w:rsidRPr="00B248BA">
        <w:rPr>
          <w:szCs w:val="24"/>
        </w:rPr>
        <w:t xml:space="preserve"> careful scrutiny</w:t>
      </w:r>
      <w:r w:rsidR="00D05C61" w:rsidRPr="00B248BA">
        <w:rPr>
          <w:szCs w:val="24"/>
        </w:rPr>
        <w:t xml:space="preserve"> by the domestic tribunals and by this Court </w:t>
      </w:r>
      <w:r w:rsidR="00A5227B" w:rsidRPr="00B248BA">
        <w:rPr>
          <w:szCs w:val="24"/>
        </w:rPr>
        <w:t>is required</w:t>
      </w:r>
      <w:r w:rsidR="00B359EE">
        <w:rPr>
          <w:szCs w:val="24"/>
        </w:rPr>
        <w:t>.</w:t>
      </w:r>
    </w:p>
    <w:bookmarkStart w:id="132" w:name="LSalduzpple"/>
    <w:p w:rsidR="00FF2F55" w:rsidRPr="00923E18" w:rsidRDefault="0082058A" w:rsidP="00FF2F55">
      <w:pPr>
        <w:pStyle w:val="JuPara"/>
      </w:pPr>
      <w:r w:rsidRPr="00B248BA">
        <w:rPr>
          <w:lang w:val="it-IT"/>
        </w:rPr>
        <w:fldChar w:fldCharType="begin"/>
      </w:r>
      <w:r w:rsidR="006E22E0" w:rsidRPr="00B248BA">
        <w:instrText xml:space="preserve"> SEQ level0 \*arabic </w:instrText>
      </w:r>
      <w:r w:rsidRPr="00B248BA">
        <w:rPr>
          <w:lang w:val="it-IT"/>
        </w:rPr>
        <w:fldChar w:fldCharType="separate"/>
      </w:r>
      <w:r w:rsidR="00517F95">
        <w:rPr>
          <w:noProof/>
        </w:rPr>
        <w:t>193</w:t>
      </w:r>
      <w:r w:rsidRPr="00B248BA">
        <w:rPr>
          <w:lang w:val="it-IT"/>
        </w:rPr>
        <w:fldChar w:fldCharType="end"/>
      </w:r>
      <w:bookmarkEnd w:id="132"/>
      <w:r w:rsidR="006E22E0" w:rsidRPr="00B248BA">
        <w:t xml:space="preserve">.  The Court explained in </w:t>
      </w:r>
      <w:r w:rsidR="006E22E0" w:rsidRPr="00B248BA">
        <w:rPr>
          <w:i/>
        </w:rPr>
        <w:t>John Murray</w:t>
      </w:r>
      <w:r w:rsidR="006E22E0" w:rsidRPr="00B248BA">
        <w:t xml:space="preserve">, </w:t>
      </w:r>
      <w:r w:rsidR="0058346D" w:rsidRPr="00B248BA">
        <w:t>cited above</w:t>
      </w:r>
      <w:r w:rsidR="006E22E0" w:rsidRPr="00B248BA">
        <w:t xml:space="preserve">, § 63, that </w:t>
      </w:r>
      <w:r w:rsidR="006E22E0" w:rsidRPr="00B248BA">
        <w:rPr>
          <w:rStyle w:val="sb8d990e2"/>
        </w:rPr>
        <w:t xml:space="preserve">where access to a lawyer has been </w:t>
      </w:r>
      <w:r w:rsidR="003C0BE6" w:rsidRPr="00B248BA">
        <w:rPr>
          <w:rStyle w:val="sb8d990e2"/>
        </w:rPr>
        <w:t xml:space="preserve">deliberately </w:t>
      </w:r>
      <w:r w:rsidR="006E22E0" w:rsidRPr="00B248BA">
        <w:rPr>
          <w:rStyle w:val="sb8d990e2"/>
        </w:rPr>
        <w:t xml:space="preserve">restricted at the initial stages of police interrogation, the question is whether the restriction, in the light of </w:t>
      </w:r>
      <w:r w:rsidR="006E22E0" w:rsidRPr="00B248BA">
        <w:rPr>
          <w:rStyle w:val="sb8d990e2"/>
        </w:rPr>
        <w:lastRenderedPageBreak/>
        <w:t>the entirety of the proceedings, has deprived the accused of a fair hearing</w:t>
      </w:r>
      <w:r w:rsidR="00F672D0" w:rsidRPr="00B248BA">
        <w:rPr>
          <w:rStyle w:val="sb8d990e2"/>
        </w:rPr>
        <w:t xml:space="preserve"> (see also </w:t>
      </w:r>
      <w:r w:rsidR="00F672D0" w:rsidRPr="00B248BA">
        <w:rPr>
          <w:i/>
        </w:rPr>
        <w:t>Pishchalnikov</w:t>
      </w:r>
      <w:r w:rsidR="00F672D0" w:rsidRPr="00B248BA">
        <w:t xml:space="preserve">, </w:t>
      </w:r>
      <w:r w:rsidR="00D563A5" w:rsidRPr="00B248BA">
        <w:t>cited above</w:t>
      </w:r>
      <w:r w:rsidR="00F672D0" w:rsidRPr="00B248BA">
        <w:rPr>
          <w:snapToGrid w:val="0"/>
        </w:rPr>
        <w:t>, § 67)</w:t>
      </w:r>
      <w:r w:rsidR="006E22E0" w:rsidRPr="00B248BA">
        <w:rPr>
          <w:rStyle w:val="sb8d990e2"/>
        </w:rPr>
        <w:t>.</w:t>
      </w:r>
      <w:r w:rsidR="00BB1775" w:rsidRPr="00B248BA">
        <w:t xml:space="preserve"> </w:t>
      </w:r>
      <w:r w:rsidR="00923E18" w:rsidRPr="00B248BA">
        <w:t>It</w:t>
      </w:r>
      <w:r w:rsidR="005C7FFE" w:rsidRPr="00B248BA">
        <w:t xml:space="preserve"> </w:t>
      </w:r>
      <w:r w:rsidR="00923E18" w:rsidRPr="00B248BA">
        <w:t>stated</w:t>
      </w:r>
      <w:r w:rsidR="005C7FFE" w:rsidRPr="00B248BA">
        <w:t xml:space="preserve"> that since national laws may attach consequences to the attitude of an accused at the initial stages of police interrogation which are decisive for the prospects of the defence in any subsequent criminal proceedings, Article 6 will normally require that the accused be afforded a lawyer from these initial stages</w:t>
      </w:r>
      <w:r w:rsidR="00923E18" w:rsidRPr="00B248BA">
        <w:t xml:space="preserve"> (see also </w:t>
      </w:r>
      <w:r w:rsidR="00923E18" w:rsidRPr="00B248BA">
        <w:rPr>
          <w:i/>
        </w:rPr>
        <w:t>Salduz</w:t>
      </w:r>
      <w:r w:rsidR="00923E18" w:rsidRPr="00B248BA">
        <w:t>, cited above, §</w:t>
      </w:r>
      <w:r w:rsidR="006D0455">
        <w:t xml:space="preserve"> </w:t>
      </w:r>
      <w:r w:rsidR="00923E18" w:rsidRPr="00B248BA">
        <w:t>52)</w:t>
      </w:r>
      <w:r w:rsidR="005C7FFE" w:rsidRPr="00B248BA">
        <w:t xml:space="preserve">. </w:t>
      </w:r>
      <w:r w:rsidR="00923E18" w:rsidRPr="00B248BA">
        <w:t xml:space="preserve">However, the Court </w:t>
      </w:r>
      <w:r w:rsidR="001A6C24" w:rsidRPr="00B248BA">
        <w:t>ha</w:t>
      </w:r>
      <w:r w:rsidR="001A6C24">
        <w:t>d</w:t>
      </w:r>
      <w:r w:rsidR="001A6C24" w:rsidRPr="00B248BA">
        <w:t xml:space="preserve"> </w:t>
      </w:r>
      <w:r w:rsidR="00923E18" w:rsidRPr="00B248BA">
        <w:t xml:space="preserve">always recognised </w:t>
      </w:r>
      <w:r w:rsidR="005C7FFE" w:rsidRPr="00B248BA">
        <w:t>that the right to legal assistance could be subject to restrictions for good cause</w:t>
      </w:r>
      <w:r w:rsidR="00923E18" w:rsidRPr="00B248BA">
        <w:t xml:space="preserve"> (see </w:t>
      </w:r>
      <w:r w:rsidR="00923E18" w:rsidRPr="00B248BA">
        <w:rPr>
          <w:i/>
        </w:rPr>
        <w:t>John Murray</w:t>
      </w:r>
      <w:r w:rsidR="00923E18" w:rsidRPr="00B248BA">
        <w:t xml:space="preserve">, cited above, § 63; </w:t>
      </w:r>
      <w:r w:rsidR="00923E18" w:rsidRPr="00B248BA">
        <w:rPr>
          <w:i/>
        </w:rPr>
        <w:t>Magee</w:t>
      </w:r>
      <w:r w:rsidR="00923E18" w:rsidRPr="00B248BA">
        <w:t xml:space="preserve">, cited above, § 41; </w:t>
      </w:r>
      <w:r w:rsidR="00923E18" w:rsidRPr="00B248BA">
        <w:rPr>
          <w:i/>
        </w:rPr>
        <w:t>Brennan v. the United Kingdom</w:t>
      </w:r>
      <w:r w:rsidR="00923E18" w:rsidRPr="00B248BA">
        <w:t>, no. 39846/98, § 45, ECHR 2001</w:t>
      </w:r>
      <w:r w:rsidR="00923E18" w:rsidRPr="00B248BA">
        <w:noBreakHyphen/>
        <w:t xml:space="preserve">X; and </w:t>
      </w:r>
      <w:r w:rsidR="00923E18" w:rsidRPr="00B248BA">
        <w:rPr>
          <w:i/>
        </w:rPr>
        <w:t>Pishchalnikov</w:t>
      </w:r>
      <w:r w:rsidR="00923E18" w:rsidRPr="00B248BA">
        <w:t>, cited above, § 67)</w:t>
      </w:r>
      <w:r w:rsidR="005C7FFE" w:rsidRPr="00B248BA">
        <w:t>. At</w:t>
      </w:r>
      <w:r w:rsidR="00FF2F55" w:rsidRPr="00FF2F55">
        <w:rPr>
          <w:lang w:eastAsia="en-US"/>
        </w:rPr>
        <w:t xml:space="preserve"> </w:t>
      </w:r>
      <w:r w:rsidR="00D563A5">
        <w:rPr>
          <w:lang w:eastAsia="en-US"/>
        </w:rPr>
        <w:t>§ 55</w:t>
      </w:r>
      <w:r w:rsidR="005C7FFE">
        <w:t xml:space="preserve"> of its judgment</w:t>
      </w:r>
      <w:r w:rsidR="00923E18">
        <w:t xml:space="preserve"> in </w:t>
      </w:r>
      <w:r w:rsidR="00923E18" w:rsidRPr="00923E18">
        <w:rPr>
          <w:i/>
        </w:rPr>
        <w:t>Salduz</w:t>
      </w:r>
      <w:r w:rsidR="005C7FFE">
        <w:t>,</w:t>
      </w:r>
      <w:r w:rsidR="00923E18">
        <w:t xml:space="preserve"> cited above,</w:t>
      </w:r>
      <w:r w:rsidR="00FF2F55">
        <w:t xml:space="preserve"> the Grand Chamber </w:t>
      </w:r>
      <w:r w:rsidR="007C7223">
        <w:t xml:space="preserve">set out the </w:t>
      </w:r>
      <w:r w:rsidR="005C7FFE">
        <w:t xml:space="preserve">applicable </w:t>
      </w:r>
      <w:r w:rsidR="007C7223">
        <w:t>principle</w:t>
      </w:r>
      <w:r w:rsidR="001A6C24">
        <w:t xml:space="preserve"> as follows</w:t>
      </w:r>
      <w:r w:rsidR="00FF2F55">
        <w:t>:</w:t>
      </w:r>
    </w:p>
    <w:p w:rsidR="00FF2F55" w:rsidRDefault="00FF2F55" w:rsidP="00FF2F55">
      <w:pPr>
        <w:pStyle w:val="ECHRParaQuote"/>
      </w:pPr>
      <w:r>
        <w:t xml:space="preserve">“... Article 6 § 1 requires that, as a rule, access to a lawyer should be provided as from the first interrogation of a suspect by the police, unless it is demonstrated in the light of the particular circumstances of each case that there are compelling reasons to restrict this right. Even where compelling reasons may exceptionally justify denial of access to a lawyer, such restriction – whatever its justification – must not unduly prejudice the rights of the accused under Article 6 </w:t>
      </w:r>
      <w:r w:rsidR="00C91245">
        <w:t>...</w:t>
      </w:r>
      <w:r>
        <w:t xml:space="preserve"> The rights o</w:t>
      </w:r>
      <w:r w:rsidR="00611184">
        <w:t xml:space="preserve">f the defence will in principle </w:t>
      </w:r>
      <w:r>
        <w:t>be irretrievably prejudiced when incriminating statements made during police interrogation without access to a lawyer are used for a conviction.”</w:t>
      </w:r>
    </w:p>
    <w:p w:rsidR="00D97CF9" w:rsidRPr="00B248BA" w:rsidRDefault="00555E80" w:rsidP="00D97CF9">
      <w:pPr>
        <w:pStyle w:val="JuPara"/>
      </w:pPr>
      <w:r>
        <w:fldChar w:fldCharType="begin"/>
      </w:r>
      <w:r>
        <w:instrText xml:space="preserve"> SEQ level0 \*arabic </w:instrText>
      </w:r>
      <w:r>
        <w:fldChar w:fldCharType="separate"/>
      </w:r>
      <w:r w:rsidR="00517F95">
        <w:rPr>
          <w:noProof/>
        </w:rPr>
        <w:t>194</w:t>
      </w:r>
      <w:r>
        <w:rPr>
          <w:noProof/>
        </w:rPr>
        <w:fldChar w:fldCharType="end"/>
      </w:r>
      <w:r w:rsidR="00F67765" w:rsidRPr="00B248BA">
        <w:t>.  </w:t>
      </w:r>
      <w:r w:rsidR="00A44BC4" w:rsidRPr="00B248BA">
        <w:t xml:space="preserve">It can be seen from </w:t>
      </w:r>
      <w:r w:rsidR="001A0138" w:rsidRPr="00B248BA">
        <w:rPr>
          <w:i/>
        </w:rPr>
        <w:t>Salduz</w:t>
      </w:r>
      <w:r w:rsidR="001A0138" w:rsidRPr="00B248BA">
        <w:t xml:space="preserve"> that</w:t>
      </w:r>
      <w:r w:rsidR="00A44BC4" w:rsidRPr="00B248BA">
        <w:t xml:space="preserve"> in assessing the compatibility </w:t>
      </w:r>
      <w:r w:rsidR="001A0138" w:rsidRPr="00B248BA">
        <w:t xml:space="preserve">with Article 6 </w:t>
      </w:r>
      <w:r w:rsidR="00A44BC4" w:rsidRPr="00B248BA">
        <w:t xml:space="preserve">of instances of police interrogation </w:t>
      </w:r>
      <w:r w:rsidR="00BE0DE7" w:rsidRPr="00B248BA">
        <w:t>without legal assistance</w:t>
      </w:r>
      <w:r w:rsidR="00923E18" w:rsidRPr="00B248BA">
        <w:t>, the Court considers two separate but linked matters</w:t>
      </w:r>
      <w:r w:rsidR="00A44BC4" w:rsidRPr="00B248BA">
        <w:t xml:space="preserve">. </w:t>
      </w:r>
      <w:r w:rsidR="00923E18" w:rsidRPr="00B248BA">
        <w:t>The first is whether</w:t>
      </w:r>
      <w:r w:rsidR="001A0138" w:rsidRPr="00B248BA">
        <w:t xml:space="preserve"> there </w:t>
      </w:r>
      <w:r w:rsidR="009C1430" w:rsidRPr="00B248BA">
        <w:t>were “</w:t>
      </w:r>
      <w:r w:rsidR="001A0138" w:rsidRPr="00B248BA">
        <w:t>compelling reasons” to delay access to legal assistance. A temporary restriction on access to legal advice will not, of itself, fall foul of Article 6 §§ 1 or 3 (c) where this test is satisfied.</w:t>
      </w:r>
    </w:p>
    <w:p w:rsidR="00D97CF9" w:rsidRPr="00B248BA" w:rsidRDefault="00555E80" w:rsidP="00D97CF9">
      <w:pPr>
        <w:pStyle w:val="JuPara"/>
      </w:pPr>
      <w:r>
        <w:fldChar w:fldCharType="begin"/>
      </w:r>
      <w:r>
        <w:instrText xml:space="preserve"> SEQ level0 \*arabic </w:instrText>
      </w:r>
      <w:r>
        <w:fldChar w:fldCharType="separate"/>
      </w:r>
      <w:r w:rsidR="00517F95">
        <w:rPr>
          <w:noProof/>
        </w:rPr>
        <w:t>195</w:t>
      </w:r>
      <w:r>
        <w:rPr>
          <w:noProof/>
        </w:rPr>
        <w:fldChar w:fldCharType="end"/>
      </w:r>
      <w:r w:rsidR="00F67765" w:rsidRPr="00B248BA">
        <w:t>.  </w:t>
      </w:r>
      <w:r w:rsidR="001A0138" w:rsidRPr="00B248BA">
        <w:t xml:space="preserve">However, applicants rarely complain </w:t>
      </w:r>
      <w:r w:rsidR="00F67765" w:rsidRPr="00B248BA">
        <w:t>of restrictions in respect of</w:t>
      </w:r>
      <w:r w:rsidR="001A0138" w:rsidRPr="00B248BA">
        <w:t xml:space="preserve"> legal assistance in isolation.</w:t>
      </w:r>
      <w:r w:rsidR="007A6D33" w:rsidRPr="00B248BA">
        <w:t xml:space="preserve"> A witness or suspect </w:t>
      </w:r>
      <w:r w:rsidR="00D97CF9" w:rsidRPr="00B248BA">
        <w:t xml:space="preserve">interviewed </w:t>
      </w:r>
      <w:r w:rsidR="00BE0DE7" w:rsidRPr="00B248BA">
        <w:t xml:space="preserve">by the police </w:t>
      </w:r>
      <w:r w:rsidR="00D97CF9" w:rsidRPr="00B248BA">
        <w:t xml:space="preserve">and released without charge </w:t>
      </w:r>
      <w:r w:rsidR="007A6D33" w:rsidRPr="00B248BA">
        <w:t>has little</w:t>
      </w:r>
      <w:r w:rsidR="00F67765" w:rsidRPr="00B248BA">
        <w:t xml:space="preserve"> interest </w:t>
      </w:r>
      <w:r w:rsidR="007A6D33" w:rsidRPr="00B248BA">
        <w:t>in pursuing complaints about inadequate procedural guarantees</w:t>
      </w:r>
      <w:r w:rsidR="00D97CF9" w:rsidRPr="00B248BA">
        <w:t>.</w:t>
      </w:r>
      <w:r w:rsidR="007A6D33" w:rsidRPr="00B248BA">
        <w:t xml:space="preserve"> </w:t>
      </w:r>
      <w:r w:rsidR="001A0138" w:rsidRPr="00B248BA">
        <w:t xml:space="preserve">The alleged unfairness </w:t>
      </w:r>
      <w:r w:rsidR="00923E18" w:rsidRPr="00B248BA">
        <w:t xml:space="preserve">generally </w:t>
      </w:r>
      <w:r w:rsidR="00BE0DE7" w:rsidRPr="00B248BA">
        <w:t xml:space="preserve">arises </w:t>
      </w:r>
      <w:r w:rsidR="001A0138" w:rsidRPr="00B248BA">
        <w:t>because statements made during police interrogation without legal advice are subsequently admitted as evidence in criminal proceedings.</w:t>
      </w:r>
      <w:r w:rsidR="00D97CF9" w:rsidRPr="00B248BA">
        <w:t xml:space="preserve"> </w:t>
      </w:r>
      <w:r w:rsidR="005232FE" w:rsidRPr="00B248BA">
        <w:t>Thus</w:t>
      </w:r>
      <w:r w:rsidR="00697E83" w:rsidRPr="00B248BA">
        <w:t>,</w:t>
      </w:r>
      <w:r w:rsidR="005232FE" w:rsidRPr="00B248BA">
        <w:t xml:space="preserve"> the second aspect of the </w:t>
      </w:r>
      <w:r w:rsidR="005232FE" w:rsidRPr="00B248BA">
        <w:rPr>
          <w:i/>
        </w:rPr>
        <w:t>Salduz</w:t>
      </w:r>
      <w:r w:rsidR="005232FE" w:rsidRPr="00B248BA">
        <w:t xml:space="preserve"> </w:t>
      </w:r>
      <w:r w:rsidR="007A6D33" w:rsidRPr="00B248BA">
        <w:t>principle</w:t>
      </w:r>
      <w:r w:rsidR="005232FE" w:rsidRPr="00B248BA">
        <w:t xml:space="preserve"> holds that, e</w:t>
      </w:r>
      <w:r w:rsidR="00AB3C79" w:rsidRPr="00B248BA">
        <w:t xml:space="preserve">ven where </w:t>
      </w:r>
      <w:r w:rsidR="009C1430" w:rsidRPr="00B248BA">
        <w:t>a restriction on</w:t>
      </w:r>
      <w:r w:rsidR="00AB3C79" w:rsidRPr="00B248BA">
        <w:t xml:space="preserve"> access to legal advice was </w:t>
      </w:r>
      <w:r w:rsidR="009C1430" w:rsidRPr="00B248BA">
        <w:t xml:space="preserve">justified </w:t>
      </w:r>
      <w:r w:rsidR="00AB3C79" w:rsidRPr="00B248BA">
        <w:t xml:space="preserve">for </w:t>
      </w:r>
      <w:r w:rsidR="001A0138" w:rsidRPr="00B248BA">
        <w:t>compelling reasons</w:t>
      </w:r>
      <w:r w:rsidR="009C1430" w:rsidRPr="00B248BA">
        <w:t>,</w:t>
      </w:r>
      <w:r w:rsidR="009379AF" w:rsidRPr="00B248BA">
        <w:t xml:space="preserve"> and thus itself compatible with Article 6</w:t>
      </w:r>
      <w:r w:rsidR="00AB3C79" w:rsidRPr="00B248BA">
        <w:t>,</w:t>
      </w:r>
      <w:r w:rsidR="009379AF" w:rsidRPr="00B248BA">
        <w:t xml:space="preserve"> it may nonetheless be necessary, in the interests of fairness, to exclude from any subsequent criminal proceedings any statement made during a police interview in the absence of a lawyer.</w:t>
      </w:r>
      <w:r w:rsidR="00AF1CBA" w:rsidRPr="00B248BA">
        <w:t xml:space="preserve"> The question, at this stage of the Court</w:t>
      </w:r>
      <w:r w:rsidR="005E7B7A">
        <w:t>’</w:t>
      </w:r>
      <w:r w:rsidR="00AF1CBA" w:rsidRPr="00B248BA">
        <w:t xml:space="preserve">s assessment, is whether the admission of a statement made without access to legal assistance caused undue prejudice to the </w:t>
      </w:r>
      <w:r w:rsidR="007A6D33" w:rsidRPr="00B248BA">
        <w:t xml:space="preserve">applicant in the </w:t>
      </w:r>
      <w:r w:rsidR="00AF1CBA" w:rsidRPr="00B248BA">
        <w:t>criminal proceedings, tak</w:t>
      </w:r>
      <w:r w:rsidR="007A6D33" w:rsidRPr="00B248BA">
        <w:t>i</w:t>
      </w:r>
      <w:r w:rsidR="00AF1CBA" w:rsidRPr="00B248BA">
        <w:t>n</w:t>
      </w:r>
      <w:r w:rsidR="007A6D33" w:rsidRPr="00B248BA">
        <w:t>g</w:t>
      </w:r>
      <w:r w:rsidR="00AF1CBA" w:rsidRPr="00B248BA">
        <w:t xml:space="preserve"> into account the fairness of the proceedings as a whole.</w:t>
      </w:r>
    </w:p>
    <w:bookmarkStart w:id="133" w:name="Ladmissibilityofev"/>
    <w:bookmarkStart w:id="134" w:name="Lfactors"/>
    <w:p w:rsidR="003F524A" w:rsidRPr="00B248BA" w:rsidRDefault="0082058A" w:rsidP="0025210A">
      <w:pPr>
        <w:pStyle w:val="JuPara"/>
        <w:rPr>
          <w:rStyle w:val="sb8d990e2"/>
          <w:szCs w:val="24"/>
        </w:rPr>
      </w:pPr>
      <w:r w:rsidRPr="00B248BA">
        <w:rPr>
          <w:rStyle w:val="sb8d990e2"/>
        </w:rPr>
        <w:fldChar w:fldCharType="begin"/>
      </w:r>
      <w:r w:rsidR="00C45138" w:rsidRPr="00B248BA">
        <w:rPr>
          <w:rStyle w:val="sb8d990e2"/>
        </w:rPr>
        <w:instrText xml:space="preserve"> SEQ level0 \*arabic </w:instrText>
      </w:r>
      <w:r w:rsidRPr="00B248BA">
        <w:rPr>
          <w:rStyle w:val="sb8d990e2"/>
        </w:rPr>
        <w:fldChar w:fldCharType="separate"/>
      </w:r>
      <w:r w:rsidR="00517F95">
        <w:rPr>
          <w:rStyle w:val="sb8d990e2"/>
          <w:noProof/>
        </w:rPr>
        <w:t>196</w:t>
      </w:r>
      <w:r w:rsidRPr="00B248BA">
        <w:rPr>
          <w:rStyle w:val="sb8d990e2"/>
        </w:rPr>
        <w:fldChar w:fldCharType="end"/>
      </w:r>
      <w:bookmarkEnd w:id="133"/>
      <w:bookmarkEnd w:id="134"/>
      <w:r w:rsidR="00C45138" w:rsidRPr="00B248BA">
        <w:rPr>
          <w:rStyle w:val="sb8d990e2"/>
        </w:rPr>
        <w:t>.  </w:t>
      </w:r>
      <w:r w:rsidR="00D97CF9" w:rsidRPr="00B248BA">
        <w:t xml:space="preserve">In this respect, the general principles applied by the Court to questions of admissibility of evidence </w:t>
      </w:r>
      <w:r w:rsidR="005232FE" w:rsidRPr="00B248BA">
        <w:t xml:space="preserve">in criminal proceedings </w:t>
      </w:r>
      <w:r w:rsidR="00D97CF9" w:rsidRPr="00B248BA">
        <w:t>are relevant.</w:t>
      </w:r>
      <w:r w:rsidR="00D97CF9">
        <w:t xml:space="preserve"> </w:t>
      </w:r>
      <w:r w:rsidR="00D97CF9">
        <w:rPr>
          <w:rStyle w:val="sb8d990e2"/>
        </w:rPr>
        <w:t>As the Court has said on many occasions,</w:t>
      </w:r>
      <w:r w:rsidR="00C45138">
        <w:rPr>
          <w:rStyle w:val="sb8d990e2"/>
        </w:rPr>
        <w:t xml:space="preserve"> </w:t>
      </w:r>
      <w:r w:rsidR="003C7796">
        <w:rPr>
          <w:rStyle w:val="sb8d990e2"/>
        </w:rPr>
        <w:t xml:space="preserve">admissibility of </w:t>
      </w:r>
      <w:r w:rsidR="00C45138">
        <w:rPr>
          <w:rStyle w:val="sb8d990e2"/>
        </w:rPr>
        <w:t xml:space="preserve">evidence is a </w:t>
      </w:r>
      <w:r w:rsidR="00C45138">
        <w:rPr>
          <w:rStyle w:val="sb8d990e2"/>
        </w:rPr>
        <w:lastRenderedPageBreak/>
        <w:t>matter for regulation by national law and the national courts and th</w:t>
      </w:r>
      <w:r w:rsidR="00B17A52">
        <w:rPr>
          <w:rStyle w:val="sb8d990e2"/>
        </w:rPr>
        <w:t>is</w:t>
      </w:r>
      <w:r w:rsidR="00C45138">
        <w:rPr>
          <w:rStyle w:val="sb8d990e2"/>
        </w:rPr>
        <w:t xml:space="preserve"> Court</w:t>
      </w:r>
      <w:r w:rsidR="005E7B7A">
        <w:rPr>
          <w:rStyle w:val="sb8d990e2"/>
        </w:rPr>
        <w:t>’</w:t>
      </w:r>
      <w:r w:rsidR="00C45138">
        <w:rPr>
          <w:rStyle w:val="sb8d990e2"/>
        </w:rPr>
        <w:t xml:space="preserve">s only concern is to examine </w:t>
      </w:r>
      <w:r w:rsidR="00C45138" w:rsidRPr="00F24B5C">
        <w:rPr>
          <w:rStyle w:val="sb8d990e2"/>
        </w:rPr>
        <w:t>whether the proceedings have been conducted fairly (see</w:t>
      </w:r>
      <w:r w:rsidR="0025210A" w:rsidRPr="00F24B5C">
        <w:rPr>
          <w:rStyle w:val="sb8d990e2"/>
        </w:rPr>
        <w:t xml:space="preserve"> </w:t>
      </w:r>
      <w:r w:rsidR="0025210A" w:rsidRPr="00F24B5C">
        <w:rPr>
          <w:i/>
        </w:rPr>
        <w:t>Panovits v.</w:t>
      </w:r>
      <w:r w:rsidR="006D0455">
        <w:rPr>
          <w:i/>
        </w:rPr>
        <w:t xml:space="preserve"> </w:t>
      </w:r>
      <w:r w:rsidR="0025210A" w:rsidRPr="00F24B5C">
        <w:rPr>
          <w:i/>
        </w:rPr>
        <w:t>Cyprus</w:t>
      </w:r>
      <w:r w:rsidR="007A6D33">
        <w:t>, no. 4268/04, § 81, 11</w:t>
      </w:r>
      <w:r w:rsidR="006D0455">
        <w:t xml:space="preserve"> </w:t>
      </w:r>
      <w:r w:rsidR="0025210A" w:rsidRPr="00F24B5C">
        <w:t>December 2008;</w:t>
      </w:r>
      <w:r w:rsidR="00C45138" w:rsidRPr="00F24B5C">
        <w:rPr>
          <w:rStyle w:val="sb8d990e2"/>
        </w:rPr>
        <w:t xml:space="preserve"> </w:t>
      </w:r>
      <w:r w:rsidR="00C45138" w:rsidRPr="00F24B5C">
        <w:rPr>
          <w:rStyle w:val="s6b621b36"/>
          <w:i/>
        </w:rPr>
        <w:t>Gäfgen</w:t>
      </w:r>
      <w:r w:rsidR="0025210A" w:rsidRPr="00F24B5C">
        <w:rPr>
          <w:rStyle w:val="sb8d990e2"/>
        </w:rPr>
        <w:t>, cited above, §</w:t>
      </w:r>
      <w:r w:rsidR="006D0455">
        <w:rPr>
          <w:rStyle w:val="sb8d990e2"/>
        </w:rPr>
        <w:t xml:space="preserve"> </w:t>
      </w:r>
      <w:r w:rsidR="00C45138" w:rsidRPr="00F24B5C">
        <w:rPr>
          <w:rStyle w:val="sb8d990e2"/>
        </w:rPr>
        <w:t xml:space="preserve">162, and references therein). In making this </w:t>
      </w:r>
      <w:r w:rsidR="0025210A" w:rsidRPr="00F24B5C">
        <w:rPr>
          <w:rStyle w:val="sb8d990e2"/>
        </w:rPr>
        <w:t>evaluation</w:t>
      </w:r>
      <w:r w:rsidR="00C45138" w:rsidRPr="00F24B5C">
        <w:rPr>
          <w:rStyle w:val="sb8d990e2"/>
        </w:rPr>
        <w:t xml:space="preserve"> the Court looks at the proceedings as a whole, having regard to whether the rights of the de</w:t>
      </w:r>
      <w:r w:rsidR="007A6D33">
        <w:rPr>
          <w:rStyle w:val="sb8d990e2"/>
        </w:rPr>
        <w:t>fence have been respected (</w:t>
      </w:r>
      <w:r w:rsidR="007A6D33" w:rsidRPr="006D0455">
        <w:rPr>
          <w:rStyle w:val="sb8d990e2"/>
        </w:rPr>
        <w:t>see</w:t>
      </w:r>
      <w:r w:rsidR="007A6D33">
        <w:rPr>
          <w:rStyle w:val="sb8d990e2"/>
        </w:rPr>
        <w:t>,</w:t>
      </w:r>
      <w:r w:rsidR="006D0455">
        <w:rPr>
          <w:rStyle w:val="sb8d990e2"/>
        </w:rPr>
        <w:t xml:space="preserve"> </w:t>
      </w:r>
      <w:r w:rsidR="00C45138" w:rsidRPr="00F24B5C">
        <w:rPr>
          <w:rStyle w:val="sb8d990e2"/>
        </w:rPr>
        <w:t xml:space="preserve">for example, </w:t>
      </w:r>
      <w:r w:rsidR="00C45138" w:rsidRPr="00F24B5C">
        <w:rPr>
          <w:i/>
        </w:rPr>
        <w:t>Bykov v. Russia</w:t>
      </w:r>
      <w:r w:rsidR="00C45138" w:rsidRPr="00F24B5C">
        <w:t xml:space="preserve"> [GC], no. 4378/02, § 90, 10 March 2009; </w:t>
      </w:r>
      <w:r w:rsidR="00C45138" w:rsidRPr="00F24B5C">
        <w:rPr>
          <w:i/>
        </w:rPr>
        <w:t>Gäfgen</w:t>
      </w:r>
      <w:r w:rsidR="00C45138" w:rsidRPr="00F24B5C">
        <w:t xml:space="preserve">, </w:t>
      </w:r>
      <w:r w:rsidR="00E67D3F" w:rsidRPr="00F24B5C">
        <w:t>cited above</w:t>
      </w:r>
      <w:r w:rsidR="00C45138" w:rsidRPr="00F24B5C">
        <w:t xml:space="preserve">, § 164; </w:t>
      </w:r>
      <w:r w:rsidR="00BD40AC" w:rsidRPr="00F24B5C">
        <w:rPr>
          <w:rStyle w:val="sb8d990e2"/>
          <w:i/>
          <w:szCs w:val="24"/>
        </w:rPr>
        <w:t>Lutsenko v.</w:t>
      </w:r>
      <w:r w:rsidR="006D0455">
        <w:rPr>
          <w:rStyle w:val="sb8d990e2"/>
          <w:i/>
          <w:szCs w:val="24"/>
        </w:rPr>
        <w:t xml:space="preserve"> </w:t>
      </w:r>
      <w:r w:rsidR="00BD40AC" w:rsidRPr="00F24B5C">
        <w:rPr>
          <w:rStyle w:val="sb8d990e2"/>
          <w:i/>
          <w:szCs w:val="24"/>
        </w:rPr>
        <w:t>Ukraine</w:t>
      </w:r>
      <w:r w:rsidR="00BD40AC" w:rsidRPr="00F24B5C">
        <w:rPr>
          <w:rStyle w:val="sb8d990e2"/>
          <w:szCs w:val="24"/>
        </w:rPr>
        <w:t xml:space="preserve">, no. 30663/04, § 42, 18 December 2008; </w:t>
      </w:r>
      <w:r w:rsidR="00C45138" w:rsidRPr="00F24B5C">
        <w:t xml:space="preserve">and </w:t>
      </w:r>
      <w:r w:rsidR="00C45138" w:rsidRPr="00F24B5C">
        <w:rPr>
          <w:i/>
        </w:rPr>
        <w:t>Aleksandr Zaichenko</w:t>
      </w:r>
      <w:r w:rsidR="00C45138" w:rsidRPr="00F24B5C">
        <w:t>, cited above, §</w:t>
      </w:r>
      <w:r w:rsidR="006D0455">
        <w:t xml:space="preserve"> </w:t>
      </w:r>
      <w:r w:rsidR="00C45138" w:rsidRPr="00F24B5C">
        <w:t>57</w:t>
      </w:r>
      <w:r w:rsidR="00C45138" w:rsidRPr="00F24B5C">
        <w:rPr>
          <w:rStyle w:val="sb8d990e2"/>
          <w:szCs w:val="24"/>
        </w:rPr>
        <w:t xml:space="preserve">). </w:t>
      </w:r>
      <w:r w:rsidR="00BD40AC" w:rsidRPr="00F24B5C">
        <w:rPr>
          <w:rStyle w:val="sb8d990e2"/>
          <w:szCs w:val="24"/>
        </w:rPr>
        <w:t>Pre-trial statements obtained in the absence of procedural guara</w:t>
      </w:r>
      <w:r w:rsidR="00176D68">
        <w:rPr>
          <w:rStyle w:val="sb8d990e2"/>
          <w:szCs w:val="24"/>
        </w:rPr>
        <w:t>ntees</w:t>
      </w:r>
      <w:r w:rsidR="00BD40AC" w:rsidRPr="00F24B5C">
        <w:rPr>
          <w:rStyle w:val="sb8d990e2"/>
          <w:szCs w:val="24"/>
        </w:rPr>
        <w:t xml:space="preserve"> should be treated with caution (see </w:t>
      </w:r>
      <w:r w:rsidR="00BD40AC" w:rsidRPr="00F24B5C">
        <w:rPr>
          <w:rStyle w:val="sb8d990e2"/>
          <w:i/>
          <w:szCs w:val="24"/>
        </w:rPr>
        <w:t>Lutsenko</w:t>
      </w:r>
      <w:r w:rsidR="00BD40AC" w:rsidRPr="00F24B5C">
        <w:rPr>
          <w:rStyle w:val="sb8d990e2"/>
          <w:szCs w:val="24"/>
        </w:rPr>
        <w:t>,</w:t>
      </w:r>
      <w:r w:rsidR="00554CFF" w:rsidRPr="00F24B5C">
        <w:rPr>
          <w:rStyle w:val="sb8d990e2"/>
          <w:szCs w:val="24"/>
        </w:rPr>
        <w:t xml:space="preserve"> cited above, § 51</w:t>
      </w:r>
      <w:r w:rsidR="00BD40AC" w:rsidRPr="00F24B5C">
        <w:rPr>
          <w:rStyle w:val="sb8d990e2"/>
          <w:szCs w:val="24"/>
        </w:rPr>
        <w:t xml:space="preserve">; and </w:t>
      </w:r>
      <w:r w:rsidR="00BD40AC" w:rsidRPr="00F24B5C">
        <w:rPr>
          <w:rStyle w:val="sb8d990e2"/>
          <w:i/>
          <w:szCs w:val="24"/>
        </w:rPr>
        <w:t>Zaichenko</w:t>
      </w:r>
      <w:r w:rsidR="00BD40AC" w:rsidRPr="00F24B5C">
        <w:rPr>
          <w:rStyle w:val="sb8d990e2"/>
          <w:szCs w:val="24"/>
        </w:rPr>
        <w:t xml:space="preserve">, cited above, § 56). </w:t>
      </w:r>
      <w:r w:rsidR="008E4413" w:rsidRPr="00B248BA">
        <w:rPr>
          <w:rStyle w:val="sb8d990e2"/>
          <w:szCs w:val="24"/>
        </w:rPr>
        <w:t>When deciding whether the admission of a statement made without legal assistance was compatible with Article 6, t</w:t>
      </w:r>
      <w:r w:rsidR="007A6D33" w:rsidRPr="00B248BA">
        <w:rPr>
          <w:rStyle w:val="sb8d990e2"/>
          <w:szCs w:val="24"/>
        </w:rPr>
        <w:t>he</w:t>
      </w:r>
      <w:r w:rsidR="00C45138" w:rsidRPr="00B248BA">
        <w:rPr>
          <w:rStyle w:val="sb8d990e2"/>
          <w:szCs w:val="24"/>
        </w:rPr>
        <w:t xml:space="preserve"> Court will examine, </w:t>
      </w:r>
      <w:r w:rsidR="00047C68" w:rsidRPr="00B248BA">
        <w:rPr>
          <w:rStyle w:val="sb8d990e2"/>
          <w:szCs w:val="24"/>
        </w:rPr>
        <w:t>in so far as relevant to the case before it</w:t>
      </w:r>
      <w:r w:rsidR="003F524A" w:rsidRPr="00B248BA">
        <w:rPr>
          <w:rStyle w:val="sb8d990e2"/>
          <w:szCs w:val="24"/>
        </w:rPr>
        <w:t>:</w:t>
      </w:r>
    </w:p>
    <w:p w:rsidR="003F524A" w:rsidRPr="00B248BA" w:rsidRDefault="001928E7" w:rsidP="0025210A">
      <w:pPr>
        <w:pStyle w:val="JuPara"/>
        <w:rPr>
          <w:rStyle w:val="sb8d990e2"/>
          <w:i/>
        </w:rPr>
      </w:pPr>
      <w:r>
        <w:rPr>
          <w:rStyle w:val="sb8d990e2"/>
        </w:rPr>
        <w:t>(a)  </w:t>
      </w:r>
      <w:r w:rsidR="003F524A" w:rsidRPr="00B248BA">
        <w:rPr>
          <w:rStyle w:val="sb8d990e2"/>
        </w:rPr>
        <w:t>the general legislative framework applicable and any safeguards it contains</w:t>
      </w:r>
      <w:r w:rsidR="007A6D33" w:rsidRPr="00B248BA">
        <w:rPr>
          <w:rStyle w:val="sb8d990e2"/>
        </w:rPr>
        <w:t xml:space="preserve"> (</w:t>
      </w:r>
      <w:r w:rsidR="00176D68" w:rsidRPr="00B248BA">
        <w:rPr>
          <w:rStyle w:val="sb8d990e2"/>
        </w:rPr>
        <w:t xml:space="preserve">see, generally, </w:t>
      </w:r>
      <w:r w:rsidR="007A6D33" w:rsidRPr="00B248BA">
        <w:rPr>
          <w:rStyle w:val="sb8d990e2"/>
          <w:i/>
        </w:rPr>
        <w:t>John Murray</w:t>
      </w:r>
      <w:r w:rsidR="007A6D33" w:rsidRPr="00B248BA">
        <w:rPr>
          <w:rStyle w:val="sb8d990e2"/>
        </w:rPr>
        <w:t xml:space="preserve">, cited above, § 66; </w:t>
      </w:r>
      <w:r w:rsidR="007A6D33" w:rsidRPr="00B248BA">
        <w:rPr>
          <w:rStyle w:val="sb8d990e2"/>
          <w:i/>
        </w:rPr>
        <w:t>Salduz</w:t>
      </w:r>
      <w:r w:rsidR="007A6D33" w:rsidRPr="00B248BA">
        <w:rPr>
          <w:rStyle w:val="sb8d990e2"/>
        </w:rPr>
        <w:t>, cited above, §</w:t>
      </w:r>
      <w:r w:rsidR="006D0455">
        <w:rPr>
          <w:rStyle w:val="sb8d990e2"/>
        </w:rPr>
        <w:t xml:space="preserve"> </w:t>
      </w:r>
      <w:r w:rsidR="007A6D33" w:rsidRPr="00B248BA">
        <w:rPr>
          <w:rStyle w:val="sb8d990e2"/>
        </w:rPr>
        <w:t>56</w:t>
      </w:r>
      <w:r w:rsidR="0056124E" w:rsidRPr="00B248BA">
        <w:rPr>
          <w:rStyle w:val="sb8d990e2"/>
        </w:rPr>
        <w:t xml:space="preserve">; and </w:t>
      </w:r>
      <w:r w:rsidR="0056124E" w:rsidRPr="00B248BA">
        <w:rPr>
          <w:i/>
        </w:rPr>
        <w:t>Yoldaş v. Turkey</w:t>
      </w:r>
      <w:r w:rsidR="0056124E" w:rsidRPr="00B248BA">
        <w:t>, no. 27503/04</w:t>
      </w:r>
      <w:r w:rsidR="0056124E" w:rsidRPr="00B248BA">
        <w:rPr>
          <w:snapToGrid w:val="0"/>
        </w:rPr>
        <w:t>, § 50, 23 February 2010</w:t>
      </w:r>
      <w:r w:rsidR="007A6D33" w:rsidRPr="00B248BA">
        <w:rPr>
          <w:rStyle w:val="sb8d990e2"/>
        </w:rPr>
        <w:t>)</w:t>
      </w:r>
      <w:r w:rsidR="003F524A" w:rsidRPr="00B248BA">
        <w:rPr>
          <w:rStyle w:val="sb8d990e2"/>
        </w:rPr>
        <w:t>;</w:t>
      </w:r>
    </w:p>
    <w:p w:rsidR="003F524A" w:rsidRPr="00B248BA" w:rsidRDefault="003F524A" w:rsidP="0025210A">
      <w:pPr>
        <w:pStyle w:val="JuPara"/>
        <w:rPr>
          <w:rStyle w:val="sb8d990e2"/>
          <w:szCs w:val="24"/>
        </w:rPr>
      </w:pPr>
      <w:r w:rsidRPr="00B248BA">
        <w:rPr>
          <w:rStyle w:val="sb8d990e2"/>
        </w:rPr>
        <w:t>(b)</w:t>
      </w:r>
      <w:r w:rsidR="001928E7">
        <w:rPr>
          <w:rStyle w:val="sb8d990e2"/>
        </w:rPr>
        <w:t>  </w:t>
      </w:r>
      <w:r w:rsidRPr="00B248BA">
        <w:rPr>
          <w:rStyle w:val="sb8d990e2"/>
        </w:rPr>
        <w:t xml:space="preserve">the quality of the evidence, including whether the circumstances in which it was obtained cast doubt on its reliability or accuracy (see </w:t>
      </w:r>
      <w:r w:rsidRPr="00B248BA">
        <w:rPr>
          <w:i/>
        </w:rPr>
        <w:t>Panovits</w:t>
      </w:r>
      <w:r w:rsidRPr="00B248BA">
        <w:t xml:space="preserve">, cited above, § 82; </w:t>
      </w:r>
      <w:r w:rsidRPr="00B248BA">
        <w:rPr>
          <w:i/>
        </w:rPr>
        <w:t>Lutsenko</w:t>
      </w:r>
      <w:r w:rsidRPr="00B248BA">
        <w:t>, cited above, § 48; and</w:t>
      </w:r>
      <w:r w:rsidRPr="00B248BA">
        <w:rPr>
          <w:rStyle w:val="sb8d990e2"/>
        </w:rPr>
        <w:t xml:space="preserve"> </w:t>
      </w:r>
      <w:r w:rsidRPr="00B248BA">
        <w:rPr>
          <w:i/>
        </w:rPr>
        <w:t>Aleksandr Zaichenko</w:t>
      </w:r>
      <w:r w:rsidRPr="00B248BA">
        <w:t>, cited above, §</w:t>
      </w:r>
      <w:r w:rsidR="006D0455">
        <w:t xml:space="preserve"> </w:t>
      </w:r>
      <w:r w:rsidRPr="00B248BA">
        <w:t>57)</w:t>
      </w:r>
      <w:r w:rsidR="00697E83" w:rsidRPr="00B248BA">
        <w:t xml:space="preserve">; in this respect, </w:t>
      </w:r>
      <w:r w:rsidR="001A6C24" w:rsidRPr="00B248BA">
        <w:rPr>
          <w:szCs w:val="24"/>
        </w:rPr>
        <w:t>improper conduct, notably coercion or ill</w:t>
      </w:r>
      <w:r w:rsidR="006D0455">
        <w:rPr>
          <w:szCs w:val="24"/>
        </w:rPr>
        <w:noBreakHyphen/>
      </w:r>
      <w:r w:rsidR="001A6C24" w:rsidRPr="00B248BA">
        <w:rPr>
          <w:szCs w:val="24"/>
        </w:rPr>
        <w:t>treatment,</w:t>
      </w:r>
      <w:r w:rsidR="001A6C24">
        <w:t xml:space="preserve"> during</w:t>
      </w:r>
      <w:r w:rsidR="00697E83" w:rsidRPr="00B248BA">
        <w:t xml:space="preserve"> interrogation and vulnerability of suspects are relevant factors</w:t>
      </w:r>
      <w:r w:rsidR="003D1EB5" w:rsidRPr="00B248BA">
        <w:t xml:space="preserve"> (see paragraph </w:t>
      </w:r>
      <w:r w:rsidR="003D1EB5" w:rsidRPr="00B248BA">
        <w:fldChar w:fldCharType="begin"/>
      </w:r>
      <w:r w:rsidR="003D1EB5" w:rsidRPr="00B248BA">
        <w:instrText xml:space="preserve"> REF L192coercion \h </w:instrText>
      </w:r>
      <w:r w:rsidR="00B248BA">
        <w:instrText xml:space="preserve"> \* MERGEFORMAT </w:instrText>
      </w:r>
      <w:r w:rsidR="003D1EB5" w:rsidRPr="00B248BA">
        <w:fldChar w:fldCharType="separate"/>
      </w:r>
      <w:r w:rsidR="00517F95">
        <w:rPr>
          <w:noProof/>
          <w:szCs w:val="24"/>
        </w:rPr>
        <w:t>192</w:t>
      </w:r>
      <w:r w:rsidR="003D1EB5" w:rsidRPr="00B248BA">
        <w:fldChar w:fldCharType="end"/>
      </w:r>
      <w:r w:rsidR="003D1EB5" w:rsidRPr="00B248BA">
        <w:t xml:space="preserve"> above)</w:t>
      </w:r>
      <w:r w:rsidRPr="00B248BA">
        <w:rPr>
          <w:rStyle w:val="sb8d990e2"/>
          <w:szCs w:val="24"/>
        </w:rPr>
        <w:t>;</w:t>
      </w:r>
    </w:p>
    <w:p w:rsidR="003F524A" w:rsidRPr="00B248BA" w:rsidRDefault="003F524A" w:rsidP="0025210A">
      <w:pPr>
        <w:pStyle w:val="JuPara"/>
      </w:pPr>
      <w:r w:rsidRPr="00B248BA">
        <w:rPr>
          <w:rStyle w:val="sb8d990e2"/>
          <w:szCs w:val="24"/>
        </w:rPr>
        <w:t>(c)</w:t>
      </w:r>
      <w:r w:rsidR="001928E7">
        <w:rPr>
          <w:rStyle w:val="sb8d990e2"/>
          <w:szCs w:val="24"/>
        </w:rPr>
        <w:t>  </w:t>
      </w:r>
      <w:r w:rsidR="00F3192B" w:rsidRPr="00B248BA">
        <w:t xml:space="preserve">whether the statement was promptly retracted and the admissions made in it consistently denied, particularly once legal advice had been obtained (see </w:t>
      </w:r>
      <w:r w:rsidR="00F3192B" w:rsidRPr="00B248BA">
        <w:rPr>
          <w:i/>
        </w:rPr>
        <w:t>Lutsenko</w:t>
      </w:r>
      <w:r w:rsidR="00F3192B" w:rsidRPr="00B248BA">
        <w:t xml:space="preserve">, cited above, § 51; </w:t>
      </w:r>
      <w:r w:rsidR="0056124E" w:rsidRPr="00B248BA">
        <w:rPr>
          <w:i/>
        </w:rPr>
        <w:t>Yoldaş</w:t>
      </w:r>
      <w:r w:rsidR="0056124E" w:rsidRPr="00B248BA">
        <w:t xml:space="preserve">, cited above, § 53; and </w:t>
      </w:r>
      <w:r w:rsidR="00F3192B" w:rsidRPr="00B248BA">
        <w:rPr>
          <w:i/>
        </w:rPr>
        <w:t>Bandaletov</w:t>
      </w:r>
      <w:r w:rsidR="00F3192B" w:rsidRPr="00B248BA">
        <w:t>, cited above, §</w:t>
      </w:r>
      <w:r w:rsidR="006D0455">
        <w:t xml:space="preserve"> 67);</w:t>
      </w:r>
    </w:p>
    <w:p w:rsidR="003F524A" w:rsidRPr="00B248BA" w:rsidRDefault="003F524A" w:rsidP="0025210A">
      <w:pPr>
        <w:pStyle w:val="JuPara"/>
      </w:pPr>
      <w:r w:rsidRPr="00B248BA">
        <w:t>(d)</w:t>
      </w:r>
      <w:r w:rsidR="001928E7">
        <w:t>  </w:t>
      </w:r>
      <w:r w:rsidR="008E4413" w:rsidRPr="00B248BA">
        <w:t xml:space="preserve">the procedural safeguards applied during the criminal proceedings, and in particular </w:t>
      </w:r>
      <w:r w:rsidR="00F3192B" w:rsidRPr="00B248BA">
        <w:rPr>
          <w:rStyle w:val="sb8d990e2"/>
        </w:rPr>
        <w:t xml:space="preserve">whether the applicant was given the opportunity of challenging the authenticity of the evidence and of opposing its use (see </w:t>
      </w:r>
      <w:r w:rsidR="00F3192B" w:rsidRPr="00B248BA">
        <w:rPr>
          <w:i/>
        </w:rPr>
        <w:t>Panovits</w:t>
      </w:r>
      <w:r w:rsidR="00F3192B" w:rsidRPr="00B248BA">
        <w:t xml:space="preserve">, cited above, § 82; </w:t>
      </w:r>
      <w:r w:rsidR="00F3192B" w:rsidRPr="00B248BA">
        <w:rPr>
          <w:i/>
        </w:rPr>
        <w:t>Lutsenko</w:t>
      </w:r>
      <w:r w:rsidR="00F3192B" w:rsidRPr="00B248BA">
        <w:t>, cited above, § 48; and</w:t>
      </w:r>
      <w:r w:rsidR="00F3192B" w:rsidRPr="00B248BA">
        <w:rPr>
          <w:rStyle w:val="sb8d990e2"/>
        </w:rPr>
        <w:t xml:space="preserve"> </w:t>
      </w:r>
      <w:r w:rsidR="00F3192B" w:rsidRPr="00B248BA">
        <w:rPr>
          <w:i/>
        </w:rPr>
        <w:t>Aleksandr Zaichenko</w:t>
      </w:r>
      <w:r w:rsidR="00F3192B" w:rsidRPr="00B248BA">
        <w:t>, cited above, §</w:t>
      </w:r>
      <w:r w:rsidR="006D0455">
        <w:t xml:space="preserve"> 57);</w:t>
      </w:r>
    </w:p>
    <w:p w:rsidR="00B555B0" w:rsidRPr="00B248BA" w:rsidRDefault="00B555B0" w:rsidP="0025210A">
      <w:pPr>
        <w:pStyle w:val="JuPara"/>
        <w:rPr>
          <w:i/>
        </w:rPr>
      </w:pPr>
      <w:r w:rsidRPr="00B248BA">
        <w:t>(</w:t>
      </w:r>
      <w:r w:rsidR="00697E83" w:rsidRPr="00B248BA">
        <w:t>e</w:t>
      </w:r>
      <w:r w:rsidR="001928E7">
        <w:t>)  </w:t>
      </w:r>
      <w:r w:rsidRPr="00B248BA">
        <w:t>the strength of the other evidence in the case</w:t>
      </w:r>
      <w:r w:rsidR="00176D68" w:rsidRPr="00B248BA">
        <w:t xml:space="preserve"> (see </w:t>
      </w:r>
      <w:r w:rsidR="00176D68" w:rsidRPr="00B248BA">
        <w:rPr>
          <w:i/>
        </w:rPr>
        <w:t>Salduz</w:t>
      </w:r>
      <w:r w:rsidR="00176D68" w:rsidRPr="00B248BA">
        <w:t xml:space="preserve">, cited above, § 57; </w:t>
      </w:r>
      <w:r w:rsidR="0056124E" w:rsidRPr="00B248BA">
        <w:rPr>
          <w:i/>
        </w:rPr>
        <w:t>Yoldaş</w:t>
      </w:r>
      <w:r w:rsidR="0056124E" w:rsidRPr="00B248BA">
        <w:t xml:space="preserve">, cited above, § 53; </w:t>
      </w:r>
      <w:r w:rsidR="00176D68" w:rsidRPr="00B248BA">
        <w:t xml:space="preserve">and </w:t>
      </w:r>
      <w:r w:rsidR="00176D68" w:rsidRPr="00B248BA">
        <w:rPr>
          <w:i/>
        </w:rPr>
        <w:t>Aleksandr Zaichenko</w:t>
      </w:r>
      <w:r w:rsidR="00176D68" w:rsidRPr="00B248BA">
        <w:t>, cited above, § 58-59)</w:t>
      </w:r>
      <w:r w:rsidRPr="00B248BA">
        <w:t>.</w:t>
      </w:r>
    </w:p>
    <w:p w:rsidR="006E22E0" w:rsidRDefault="006E22E0" w:rsidP="006E22E0">
      <w:pPr>
        <w:pStyle w:val="ECHRHeading4"/>
      </w:pPr>
      <w:r w:rsidRPr="00F24B5C">
        <w:t>(b)</w:t>
      </w:r>
      <w:r w:rsidR="001928E7">
        <w:t>  </w:t>
      </w:r>
      <w:r w:rsidR="00262937" w:rsidRPr="00F24B5C">
        <w:t>Were there</w:t>
      </w:r>
      <w:r w:rsidR="005708BB" w:rsidRPr="00F24B5C">
        <w:t xml:space="preserve"> “compelling reasons”</w:t>
      </w:r>
      <w:r w:rsidR="00262937" w:rsidRPr="00F24B5C">
        <w:t xml:space="preserve"> to </w:t>
      </w:r>
      <w:r w:rsidR="00B17A52" w:rsidRPr="00F24B5C">
        <w:t>delay</w:t>
      </w:r>
      <w:r w:rsidR="00262937" w:rsidRPr="00F24B5C">
        <w:t xml:space="preserve"> access to legal advice?</w:t>
      </w:r>
    </w:p>
    <w:p w:rsidR="00C875A9" w:rsidRPr="0053445A" w:rsidRDefault="00555E80" w:rsidP="0053445A">
      <w:pPr>
        <w:pStyle w:val="JuPara"/>
      </w:pPr>
      <w:r>
        <w:fldChar w:fldCharType="begin"/>
      </w:r>
      <w:r>
        <w:instrText xml:space="preserve"> SEQ level0 \*arabic </w:instrText>
      </w:r>
      <w:r>
        <w:fldChar w:fldCharType="separate"/>
      </w:r>
      <w:r w:rsidR="00517F95">
        <w:rPr>
          <w:noProof/>
        </w:rPr>
        <w:t>197</w:t>
      </w:r>
      <w:r>
        <w:rPr>
          <w:noProof/>
        </w:rPr>
        <w:fldChar w:fldCharType="end"/>
      </w:r>
      <w:r w:rsidR="00517F95">
        <w:t>.  </w:t>
      </w:r>
      <w:r w:rsidR="0053445A">
        <w:t>The facts regarding the availability of lawyers to represent or assist the first three applicant</w:t>
      </w:r>
      <w:r w:rsidR="005E7B7A">
        <w:t>’</w:t>
      </w:r>
      <w:r w:rsidR="0053445A">
        <w:t>s following the latter</w:t>
      </w:r>
      <w:r w:rsidR="005E7B7A">
        <w:t>’</w:t>
      </w:r>
      <w:r w:rsidR="0053445A">
        <w:t xml:space="preserve">s arrest have been set out </w:t>
      </w:r>
      <w:r w:rsidR="00DC0E3E">
        <w:t xml:space="preserve">in detail </w:t>
      </w:r>
      <w:r w:rsidR="0053445A">
        <w:t xml:space="preserve">above. </w:t>
      </w:r>
      <w:r w:rsidR="00DC0E3E">
        <w:t>They clearly</w:t>
      </w:r>
      <w:r w:rsidR="0053445A">
        <w:t xml:space="preserve"> indicate (a) when the applicants requested lawyers (</w:t>
      </w:r>
      <w:r w:rsidR="00555418">
        <w:t xml:space="preserve">see </w:t>
      </w:r>
      <w:r w:rsidR="00555418" w:rsidRPr="00555418">
        <w:t xml:space="preserve">paragraphs </w:t>
      </w:r>
      <w:r w:rsidR="0053445A" w:rsidRPr="00555418">
        <w:rPr>
          <w:iCs/>
        </w:rPr>
        <w:t>16 and 20</w:t>
      </w:r>
      <w:r w:rsidR="00555418" w:rsidRPr="00555418">
        <w:rPr>
          <w:iCs/>
        </w:rPr>
        <w:t xml:space="preserve"> </w:t>
      </w:r>
      <w:r w:rsidR="00555418">
        <w:rPr>
          <w:iCs/>
        </w:rPr>
        <w:t xml:space="preserve">(Mr Omar), </w:t>
      </w:r>
      <w:r w:rsidR="0053445A" w:rsidRPr="00555418">
        <w:rPr>
          <w:iCs/>
        </w:rPr>
        <w:t>31</w:t>
      </w:r>
      <w:r w:rsidR="00555418">
        <w:rPr>
          <w:iCs/>
        </w:rPr>
        <w:t xml:space="preserve"> (Mr Ibrahim)</w:t>
      </w:r>
      <w:r w:rsidR="0053445A" w:rsidRPr="00555418">
        <w:rPr>
          <w:iCs/>
        </w:rPr>
        <w:t xml:space="preserve"> </w:t>
      </w:r>
      <w:r w:rsidR="00555418">
        <w:rPr>
          <w:iCs/>
        </w:rPr>
        <w:t>and</w:t>
      </w:r>
      <w:r w:rsidR="0053445A" w:rsidRPr="00555418">
        <w:rPr>
          <w:iCs/>
        </w:rPr>
        <w:t xml:space="preserve"> 41 and 43</w:t>
      </w:r>
      <w:r w:rsidR="00145F53">
        <w:rPr>
          <w:iCs/>
        </w:rPr>
        <w:t xml:space="preserve"> </w:t>
      </w:r>
      <w:r w:rsidR="00555418">
        <w:rPr>
          <w:iCs/>
        </w:rPr>
        <w:t>(Mr Mohammed)</w:t>
      </w:r>
      <w:r w:rsidR="0053445A" w:rsidRPr="00555418">
        <w:t xml:space="preserve">); (b) when the lawyers </w:t>
      </w:r>
      <w:r w:rsidR="00DC0E3E" w:rsidRPr="00555418">
        <w:t>contacted the police station</w:t>
      </w:r>
      <w:r w:rsidR="00555418" w:rsidRPr="00555418">
        <w:t xml:space="preserve"> and/or were contacted by the police</w:t>
      </w:r>
      <w:r w:rsidR="0053445A" w:rsidRPr="00555418">
        <w:t xml:space="preserve"> (</w:t>
      </w:r>
      <w:r w:rsidR="00555418">
        <w:rPr>
          <w:iCs/>
        </w:rPr>
        <w:t>see paragraphs</w:t>
      </w:r>
      <w:r w:rsidR="0053445A" w:rsidRPr="00555418">
        <w:rPr>
          <w:iCs/>
        </w:rPr>
        <w:t xml:space="preserve"> 19, 24 and 28</w:t>
      </w:r>
      <w:r w:rsidR="00145F53">
        <w:rPr>
          <w:iCs/>
        </w:rPr>
        <w:t xml:space="preserve"> (Mr </w:t>
      </w:r>
      <w:r w:rsidR="00555418">
        <w:rPr>
          <w:iCs/>
        </w:rPr>
        <w:t>Omar),</w:t>
      </w:r>
      <w:r w:rsidR="0053445A" w:rsidRPr="00555418">
        <w:rPr>
          <w:iCs/>
        </w:rPr>
        <w:t xml:space="preserve"> </w:t>
      </w:r>
      <w:r w:rsidR="00145F53">
        <w:rPr>
          <w:iCs/>
        </w:rPr>
        <w:t>32 and 34-</w:t>
      </w:r>
      <w:r w:rsidR="0053445A" w:rsidRPr="00555418">
        <w:rPr>
          <w:iCs/>
        </w:rPr>
        <w:t>35</w:t>
      </w:r>
      <w:r w:rsidR="00555418">
        <w:rPr>
          <w:iCs/>
        </w:rPr>
        <w:t xml:space="preserve"> (Mr Ibrahim)</w:t>
      </w:r>
      <w:r w:rsidR="0053445A" w:rsidRPr="00555418">
        <w:rPr>
          <w:iCs/>
        </w:rPr>
        <w:t xml:space="preserve"> </w:t>
      </w:r>
      <w:r w:rsidR="00555418">
        <w:rPr>
          <w:iCs/>
        </w:rPr>
        <w:t>and</w:t>
      </w:r>
      <w:r w:rsidR="0053445A" w:rsidRPr="00555418">
        <w:rPr>
          <w:iCs/>
        </w:rPr>
        <w:t xml:space="preserve"> 43</w:t>
      </w:r>
      <w:r w:rsidR="00145F53">
        <w:rPr>
          <w:iCs/>
        </w:rPr>
        <w:t xml:space="preserve"> </w:t>
      </w:r>
      <w:r w:rsidR="00555418">
        <w:rPr>
          <w:iCs/>
        </w:rPr>
        <w:t>(Mr Mohammed)</w:t>
      </w:r>
      <w:r w:rsidR="00145F53">
        <w:t>); (c) </w:t>
      </w:r>
      <w:r w:rsidR="0053445A" w:rsidRPr="00555418">
        <w:t xml:space="preserve">when </w:t>
      </w:r>
      <w:r w:rsidR="0053445A" w:rsidRPr="00555418">
        <w:lastRenderedPageBreak/>
        <w:t>the lawyers arrived</w:t>
      </w:r>
      <w:r w:rsidR="00555418" w:rsidRPr="00555418">
        <w:t xml:space="preserve"> at the police station</w:t>
      </w:r>
      <w:r w:rsidR="0053445A" w:rsidRPr="00555418">
        <w:t xml:space="preserve"> (</w:t>
      </w:r>
      <w:r w:rsidR="00555418">
        <w:t xml:space="preserve">see </w:t>
      </w:r>
      <w:r w:rsidR="00555418" w:rsidRPr="00555418">
        <w:t xml:space="preserve">paragraphs </w:t>
      </w:r>
      <w:r w:rsidR="0053445A" w:rsidRPr="00555418">
        <w:rPr>
          <w:iCs/>
        </w:rPr>
        <w:t>28</w:t>
      </w:r>
      <w:r w:rsidR="00555418">
        <w:rPr>
          <w:iCs/>
        </w:rPr>
        <w:t xml:space="preserve"> (Mr</w:t>
      </w:r>
      <w:r w:rsidR="009E0293">
        <w:rPr>
          <w:iCs/>
        </w:rPr>
        <w:t xml:space="preserve"> </w:t>
      </w:r>
      <w:r w:rsidR="00555418">
        <w:rPr>
          <w:iCs/>
        </w:rPr>
        <w:t>Omar)</w:t>
      </w:r>
      <w:r w:rsidR="00145F53">
        <w:rPr>
          <w:iCs/>
        </w:rPr>
        <w:t>,</w:t>
      </w:r>
      <w:r w:rsidR="0053445A" w:rsidRPr="00555418">
        <w:rPr>
          <w:iCs/>
        </w:rPr>
        <w:t xml:space="preserve"> 38</w:t>
      </w:r>
      <w:r w:rsidR="00B34516">
        <w:rPr>
          <w:iCs/>
        </w:rPr>
        <w:t> </w:t>
      </w:r>
      <w:r w:rsidR="00555418">
        <w:rPr>
          <w:iCs/>
        </w:rPr>
        <w:t>(Mr Ibrahim)</w:t>
      </w:r>
      <w:r w:rsidR="00145F53">
        <w:rPr>
          <w:iCs/>
        </w:rPr>
        <w:t xml:space="preserve"> and</w:t>
      </w:r>
      <w:r w:rsidR="0053445A" w:rsidRPr="00555418">
        <w:rPr>
          <w:iCs/>
        </w:rPr>
        <w:t xml:space="preserve"> 44 and 46</w:t>
      </w:r>
      <w:r w:rsidR="00145F53">
        <w:rPr>
          <w:iCs/>
        </w:rPr>
        <w:t xml:space="preserve"> (Mr Mohammed)</w:t>
      </w:r>
      <w:r w:rsidR="0053445A" w:rsidRPr="00555418">
        <w:t xml:space="preserve">); and (d) when the </w:t>
      </w:r>
      <w:r w:rsidR="00145F53">
        <w:t xml:space="preserve">safety </w:t>
      </w:r>
      <w:r w:rsidR="0053445A" w:rsidRPr="00555418">
        <w:t>interviews were conducted (</w:t>
      </w:r>
      <w:r w:rsidR="00145F53">
        <w:t xml:space="preserve">see paragraphs </w:t>
      </w:r>
      <w:r w:rsidR="00145F53">
        <w:rPr>
          <w:iCs/>
        </w:rPr>
        <w:t>18, 22-23 and 25-</w:t>
      </w:r>
      <w:r w:rsidR="0053445A" w:rsidRPr="00555418">
        <w:rPr>
          <w:iCs/>
        </w:rPr>
        <w:t>26</w:t>
      </w:r>
      <w:r w:rsidR="00555418">
        <w:rPr>
          <w:iCs/>
        </w:rPr>
        <w:t xml:space="preserve"> (Mr</w:t>
      </w:r>
      <w:r w:rsidR="00145F53">
        <w:rPr>
          <w:iCs/>
        </w:rPr>
        <w:t> </w:t>
      </w:r>
      <w:r w:rsidR="00555418">
        <w:rPr>
          <w:iCs/>
        </w:rPr>
        <w:t xml:space="preserve"> Omar)</w:t>
      </w:r>
      <w:r w:rsidR="00145F53">
        <w:rPr>
          <w:iCs/>
        </w:rPr>
        <w:t xml:space="preserve">, </w:t>
      </w:r>
      <w:r w:rsidR="0053445A" w:rsidRPr="00555418">
        <w:rPr>
          <w:iCs/>
        </w:rPr>
        <w:t>35</w:t>
      </w:r>
      <w:r w:rsidR="00555418">
        <w:rPr>
          <w:iCs/>
        </w:rPr>
        <w:t xml:space="preserve"> (Mr</w:t>
      </w:r>
      <w:r w:rsidR="009E0293">
        <w:rPr>
          <w:iCs/>
        </w:rPr>
        <w:t xml:space="preserve"> </w:t>
      </w:r>
      <w:r w:rsidR="00555418">
        <w:rPr>
          <w:iCs/>
        </w:rPr>
        <w:t>Ibrahim)</w:t>
      </w:r>
      <w:r w:rsidR="00145F53">
        <w:rPr>
          <w:iCs/>
        </w:rPr>
        <w:t xml:space="preserve"> and</w:t>
      </w:r>
      <w:r w:rsidR="0053445A" w:rsidRPr="00555418">
        <w:rPr>
          <w:iCs/>
        </w:rPr>
        <w:t xml:space="preserve"> 45</w:t>
      </w:r>
      <w:r w:rsidR="00555418">
        <w:rPr>
          <w:iCs/>
        </w:rPr>
        <w:t xml:space="preserve"> (Mr Mohammed)</w:t>
      </w:r>
      <w:r w:rsidR="0053445A" w:rsidRPr="00555418">
        <w:t xml:space="preserve">). </w:t>
      </w:r>
      <w:r w:rsidR="00555418" w:rsidRPr="00555418">
        <w:t>Thus it is apparent that a</w:t>
      </w:r>
      <w:r w:rsidR="0053445A" w:rsidRPr="00555418">
        <w:t xml:space="preserve">lthough a lawyer was physically at the </w:t>
      </w:r>
      <w:r w:rsidR="00C57C9D">
        <w:t xml:space="preserve">police </w:t>
      </w:r>
      <w:r w:rsidR="0053445A" w:rsidRPr="00555418">
        <w:t>station</w:t>
      </w:r>
      <w:r w:rsidR="00C57C9D">
        <w:t xml:space="preserve"> (</w:t>
      </w:r>
      <w:r w:rsidR="00555418" w:rsidRPr="00555418">
        <w:t>albeit</w:t>
      </w:r>
      <w:r w:rsidR="00C57C9D">
        <w:t xml:space="preserve"> at the front desk and</w:t>
      </w:r>
      <w:r w:rsidR="00555418" w:rsidRPr="00555418">
        <w:t xml:space="preserve"> not at the custody suite</w:t>
      </w:r>
      <w:r w:rsidR="00C57C9D">
        <w:t>)</w:t>
      </w:r>
      <w:r w:rsidR="0053445A" w:rsidRPr="00555418">
        <w:t xml:space="preserve"> before the safety inter</w:t>
      </w:r>
      <w:r w:rsidR="00C57C9D">
        <w:t>view in respect of Mr Mohammed</w:t>
      </w:r>
      <w:r w:rsidR="0053445A" w:rsidRPr="00555418">
        <w:t>, this was not the case in respect of Mr</w:t>
      </w:r>
      <w:r w:rsidR="0053445A">
        <w:t xml:space="preserve"> Omar or Mr</w:t>
      </w:r>
      <w:r w:rsidR="009E0293">
        <w:t xml:space="preserve"> </w:t>
      </w:r>
      <w:r w:rsidR="0053445A">
        <w:t xml:space="preserve">Ibrahim. </w:t>
      </w:r>
      <w:r w:rsidR="00164C2A">
        <w:t>As regards the availability of a lawyer to represent or assist the fourth applicant, the facts show that he did not request and was not offered the assistance of a lawyer during his initial police interview or while making his statement</w:t>
      </w:r>
      <w:r w:rsidR="00C57C9D">
        <w:t xml:space="preserve"> (see paragraphs 102-104 above)</w:t>
      </w:r>
      <w:r w:rsidR="00164C2A">
        <w:t xml:space="preserve">, and that when he was </w:t>
      </w:r>
      <w:r w:rsidR="00C57C9D">
        <w:t xml:space="preserve">subsequently </w:t>
      </w:r>
      <w:r w:rsidR="00164C2A">
        <w:t xml:space="preserve">arrested, cautioned and offered the services of a lawyer, he </w:t>
      </w:r>
      <w:r w:rsidR="00A86E75">
        <w:t xml:space="preserve">initially </w:t>
      </w:r>
      <w:r w:rsidR="00C57C9D">
        <w:t>declined</w:t>
      </w:r>
      <w:r w:rsidR="00164C2A">
        <w:t xml:space="preserve"> (see paragraph </w:t>
      </w:r>
      <w:r w:rsidR="00C57C9D">
        <w:t>110</w:t>
      </w:r>
      <w:r w:rsidR="00164C2A">
        <w:t xml:space="preserve"> above)</w:t>
      </w:r>
      <w:r w:rsidR="00517F95">
        <w:t>.</w:t>
      </w:r>
      <w:r w:rsidR="00A86E75">
        <w:t xml:space="preserve"> He subsequently sought, and received, legal advice (see paragraph 111 above).</w:t>
      </w:r>
    </w:p>
    <w:p w:rsidR="00D621DB" w:rsidRDefault="00555E80" w:rsidP="00D621DB">
      <w:pPr>
        <w:pStyle w:val="JuPara"/>
      </w:pPr>
      <w:r>
        <w:fldChar w:fldCharType="begin"/>
      </w:r>
      <w:r>
        <w:instrText xml:space="preserve"> SEQ level0 \*arabic </w:instrText>
      </w:r>
      <w:r>
        <w:fldChar w:fldCharType="separate"/>
      </w:r>
      <w:r w:rsidR="00517F95">
        <w:rPr>
          <w:noProof/>
        </w:rPr>
        <w:t>198</w:t>
      </w:r>
      <w:r>
        <w:rPr>
          <w:noProof/>
        </w:rPr>
        <w:fldChar w:fldCharType="end"/>
      </w:r>
      <w:r w:rsidR="00C07E1E">
        <w:t>.  </w:t>
      </w:r>
      <w:r w:rsidR="00D621DB" w:rsidRPr="00F24B5C">
        <w:t>The first question</w:t>
      </w:r>
      <w:r w:rsidR="00555418">
        <w:t xml:space="preserve"> to be examined</w:t>
      </w:r>
      <w:r w:rsidR="00D621DB" w:rsidRPr="00F24B5C">
        <w:t xml:space="preserve"> is whether there were compelling reasons to restrict the applicants</w:t>
      </w:r>
      <w:r w:rsidR="005E7B7A">
        <w:t>’</w:t>
      </w:r>
      <w:r w:rsidR="00D621DB" w:rsidRPr="00F24B5C">
        <w:t xml:space="preserve"> access to legal advice in their early police interviews.</w:t>
      </w:r>
      <w:r w:rsidR="00205FF4" w:rsidRPr="00F24B5C">
        <w:t xml:space="preserve"> The Court has no doubt that there were (compare and contrast </w:t>
      </w:r>
      <w:r w:rsidR="00205FF4" w:rsidRPr="00F24B5C">
        <w:rPr>
          <w:i/>
        </w:rPr>
        <w:t>Salduz</w:t>
      </w:r>
      <w:r w:rsidR="00205FF4" w:rsidRPr="00F24B5C">
        <w:t>, cited above, § 56</w:t>
      </w:r>
      <w:r w:rsidR="00ED5A66" w:rsidRPr="00F24B5C">
        <w:t xml:space="preserve">; and, more generally, </w:t>
      </w:r>
      <w:r w:rsidR="00ED5A66" w:rsidRPr="00F24B5C">
        <w:rPr>
          <w:i/>
        </w:rPr>
        <w:t>Panovits</w:t>
      </w:r>
      <w:r w:rsidR="00ED5A66" w:rsidRPr="00F24B5C">
        <w:t>, cited above).</w:t>
      </w:r>
    </w:p>
    <w:bookmarkStart w:id="135" w:name="Llegalframework"/>
    <w:p w:rsidR="00272EF1" w:rsidRDefault="0082058A" w:rsidP="00272EF1">
      <w:pPr>
        <w:pStyle w:val="JuPara"/>
      </w:pPr>
      <w:r>
        <w:fldChar w:fldCharType="begin"/>
      </w:r>
      <w:r w:rsidR="00067806">
        <w:instrText xml:space="preserve"> SEQ level0 \*arabic </w:instrText>
      </w:r>
      <w:r>
        <w:fldChar w:fldCharType="separate"/>
      </w:r>
      <w:r w:rsidR="00517F95">
        <w:rPr>
          <w:noProof/>
        </w:rPr>
        <w:t>199</w:t>
      </w:r>
      <w:r>
        <w:rPr>
          <w:noProof/>
        </w:rPr>
        <w:fldChar w:fldCharType="end"/>
      </w:r>
      <w:bookmarkEnd w:id="135"/>
      <w:r w:rsidR="00272EF1" w:rsidRPr="007C3032">
        <w:t>.  </w:t>
      </w:r>
      <w:r w:rsidR="00272EF1">
        <w:t>It is important to not</w:t>
      </w:r>
      <w:r w:rsidR="00067806">
        <w:t>e, first, that the present case</w:t>
      </w:r>
      <w:r w:rsidR="00272EF1">
        <w:t xml:space="preserve"> is different from the case of </w:t>
      </w:r>
      <w:r w:rsidR="00272EF1" w:rsidRPr="00227D41">
        <w:rPr>
          <w:i/>
        </w:rPr>
        <w:t>Salduz</w:t>
      </w:r>
      <w:r w:rsidR="00272EF1">
        <w:t xml:space="preserve"> as the absence of a lawyer during the applicants</w:t>
      </w:r>
      <w:r w:rsidR="005E7B7A">
        <w:t>’</w:t>
      </w:r>
      <w:r w:rsidR="00272EF1">
        <w:t xml:space="preserve"> initial police questioning did not result from the systemic application of a legal provision (see </w:t>
      </w:r>
      <w:r w:rsidR="00272EF1" w:rsidRPr="00227D41">
        <w:rPr>
          <w:i/>
          <w:sz w:val="22"/>
        </w:rPr>
        <w:t>Ş</w:t>
      </w:r>
      <w:r w:rsidR="00272EF1" w:rsidRPr="00227D41">
        <w:rPr>
          <w:i/>
        </w:rPr>
        <w:t>edal v. Turkey</w:t>
      </w:r>
      <w:r w:rsidR="00272EF1">
        <w:t xml:space="preserve"> (dec.), no. 38802/08, § 33, 13 May 2014; </w:t>
      </w:r>
      <w:r w:rsidR="00272EF1" w:rsidRPr="007C3032">
        <w:t>compare</w:t>
      </w:r>
      <w:r w:rsidR="00067806">
        <w:t xml:space="preserve"> </w:t>
      </w:r>
      <w:r w:rsidR="00067806" w:rsidRPr="00067806">
        <w:rPr>
          <w:i/>
        </w:rPr>
        <w:t>Dayanan v. Turkey</w:t>
      </w:r>
      <w:r w:rsidR="00067806" w:rsidRPr="00067806">
        <w:t>, no. 7377/03</w:t>
      </w:r>
      <w:r w:rsidR="00067806" w:rsidRPr="00067806">
        <w:rPr>
          <w:szCs w:val="24"/>
        </w:rPr>
        <w:t xml:space="preserve">, § </w:t>
      </w:r>
      <w:r w:rsidR="00067806">
        <w:rPr>
          <w:szCs w:val="24"/>
        </w:rPr>
        <w:t>33</w:t>
      </w:r>
      <w:r w:rsidR="00067806" w:rsidRPr="00067806">
        <w:rPr>
          <w:szCs w:val="24"/>
        </w:rPr>
        <w:t xml:space="preserve">, </w:t>
      </w:r>
      <w:r w:rsidR="00067806" w:rsidRPr="00067806">
        <w:t>13 October 2009</w:t>
      </w:r>
      <w:r w:rsidR="00067806">
        <w:t>;</w:t>
      </w:r>
      <w:r w:rsidR="00272EF1" w:rsidRPr="007C3032">
        <w:t xml:space="preserve"> </w:t>
      </w:r>
      <w:r w:rsidR="00272EF1">
        <w:t xml:space="preserve">and </w:t>
      </w:r>
      <w:r w:rsidR="00272EF1" w:rsidRPr="007C3032">
        <w:rPr>
          <w:i/>
        </w:rPr>
        <w:t>Çimen v. Turkey</w:t>
      </w:r>
      <w:r w:rsidR="00272EF1">
        <w:t>, no. 19582/02, § 26, 3</w:t>
      </w:r>
      <w:r w:rsidR="009E0293">
        <w:t xml:space="preserve"> </w:t>
      </w:r>
      <w:r w:rsidR="00272EF1" w:rsidRPr="007C3032">
        <w:t xml:space="preserve">February 2009). </w:t>
      </w:r>
      <w:r w:rsidR="00067806">
        <w:t xml:space="preserve">Under the law in force in England, </w:t>
      </w:r>
      <w:r w:rsidR="009C1430">
        <w:t xml:space="preserve">all of </w:t>
      </w:r>
      <w:r w:rsidR="00067806">
        <w:t>t</w:t>
      </w:r>
      <w:r w:rsidR="00272EF1" w:rsidRPr="007C3032">
        <w:t>he</w:t>
      </w:r>
      <w:r w:rsidR="00272EF1">
        <w:t xml:space="preserve"> applicants had the right to legal assistance upon arrest and the</w:t>
      </w:r>
      <w:r w:rsidR="00272EF1" w:rsidRPr="007C3032">
        <w:t xml:space="preserve"> legal framework required that individual decisions be taken in each case</w:t>
      </w:r>
      <w:r w:rsidR="00272EF1">
        <w:t xml:space="preserve"> as to when an arrest was to be made and whether</w:t>
      </w:r>
      <w:r w:rsidR="00F71299" w:rsidRPr="007C3032">
        <w:t>, having regard to all of the circumstances</w:t>
      </w:r>
      <w:r w:rsidR="00F71299">
        <w:t>,</w:t>
      </w:r>
      <w:r w:rsidR="00272EF1">
        <w:t xml:space="preserve"> legal assistance was, exceptionally, to be delayed</w:t>
      </w:r>
      <w:r w:rsidR="00F71299">
        <w:t xml:space="preserve"> in order to enable “safety” interviews (see paragraph </w:t>
      </w:r>
      <w:r>
        <w:fldChar w:fldCharType="begin"/>
      </w:r>
      <w:r w:rsidR="00F71299">
        <w:instrText xml:space="preserve"> REF F17safetyinterviewdef \h </w:instrText>
      </w:r>
      <w:r>
        <w:fldChar w:fldCharType="separate"/>
      </w:r>
      <w:r w:rsidR="00517F95">
        <w:rPr>
          <w:noProof/>
        </w:rPr>
        <w:t>17</w:t>
      </w:r>
      <w:r>
        <w:fldChar w:fldCharType="end"/>
      </w:r>
      <w:r w:rsidR="00F71299">
        <w:t xml:space="preserve"> above) to be carried out</w:t>
      </w:r>
      <w:r w:rsidR="00272EF1" w:rsidRPr="007C3032">
        <w:t>.</w:t>
      </w:r>
    </w:p>
    <w:p w:rsidR="006E22E0" w:rsidRPr="00F24B5C" w:rsidRDefault="00555E80" w:rsidP="00A2376B">
      <w:pPr>
        <w:pStyle w:val="JuPara"/>
      </w:pPr>
      <w:r>
        <w:fldChar w:fldCharType="begin"/>
      </w:r>
      <w:r>
        <w:instrText xml:space="preserve"> SEQ level0 \*arabic </w:instrText>
      </w:r>
      <w:r>
        <w:fldChar w:fldCharType="separate"/>
      </w:r>
      <w:r w:rsidR="00517F95">
        <w:rPr>
          <w:noProof/>
        </w:rPr>
        <w:t>200</w:t>
      </w:r>
      <w:r>
        <w:rPr>
          <w:noProof/>
        </w:rPr>
        <w:fldChar w:fldCharType="end"/>
      </w:r>
      <w:r w:rsidR="00262937" w:rsidRPr="00F24B5C">
        <w:t>.  </w:t>
      </w:r>
      <w:r w:rsidR="00D97CF9">
        <w:t>As the Government explained, t</w:t>
      </w:r>
      <w:r w:rsidR="006E22E0" w:rsidRPr="00F24B5C">
        <w:t xml:space="preserve">he pressures and responsibilities of </w:t>
      </w:r>
      <w:r w:rsidR="00B17A52" w:rsidRPr="00F24B5C">
        <w:t>the police in the days after 21</w:t>
      </w:r>
      <w:r w:rsidR="009E0293">
        <w:t xml:space="preserve"> </w:t>
      </w:r>
      <w:r w:rsidR="006E22E0" w:rsidRPr="00F24B5C">
        <w:t xml:space="preserve">July 2005 were </w:t>
      </w:r>
      <w:r w:rsidR="00D97CF9">
        <w:t xml:space="preserve">substantial (see paragraph </w:t>
      </w:r>
      <w:r w:rsidR="00176D68">
        <w:fldChar w:fldCharType="begin"/>
      </w:r>
      <w:r w:rsidR="00176D68">
        <w:instrText xml:space="preserve"> REF Govtsubmissionsquestioningestcriminality \h </w:instrText>
      </w:r>
      <w:r w:rsidR="00176D68">
        <w:fldChar w:fldCharType="separate"/>
      </w:r>
      <w:r w:rsidR="00517F95">
        <w:rPr>
          <w:noProof/>
        </w:rPr>
        <w:t>162</w:t>
      </w:r>
      <w:r w:rsidR="00176D68">
        <w:fldChar w:fldCharType="end"/>
      </w:r>
      <w:r w:rsidR="00176D68">
        <w:t xml:space="preserve"> </w:t>
      </w:r>
      <w:r w:rsidR="00D97CF9">
        <w:t>above)</w:t>
      </w:r>
      <w:r w:rsidR="006E22E0" w:rsidRPr="00F24B5C">
        <w:t xml:space="preserve">. Two weeks </w:t>
      </w:r>
      <w:r w:rsidR="00E67D3F" w:rsidRPr="00F24B5C">
        <w:t>earlier</w:t>
      </w:r>
      <w:r w:rsidR="006E22E0" w:rsidRPr="00F24B5C">
        <w:t xml:space="preserve">, suicide bombers had detonated their bombs on the London transport system to devastating effect. </w:t>
      </w:r>
      <w:r w:rsidR="00B17A52" w:rsidRPr="00F24B5C">
        <w:t>The</w:t>
      </w:r>
      <w:r w:rsidR="006E22E0" w:rsidRPr="00F24B5C">
        <w:t xml:space="preserve"> attacks </w:t>
      </w:r>
      <w:r w:rsidR="00B17A52" w:rsidRPr="00F24B5C">
        <w:t>had killed</w:t>
      </w:r>
      <w:r w:rsidR="006E22E0" w:rsidRPr="00F24B5C">
        <w:t xml:space="preserve"> fifty-</w:t>
      </w:r>
      <w:r w:rsidR="00E67D3F" w:rsidRPr="00F24B5C">
        <w:t>two</w:t>
      </w:r>
      <w:r w:rsidR="006E22E0" w:rsidRPr="00F24B5C">
        <w:t xml:space="preserve"> people and injure</w:t>
      </w:r>
      <w:r w:rsidR="00B17A52" w:rsidRPr="00F24B5C">
        <w:t>d</w:t>
      </w:r>
      <w:r w:rsidR="006E22E0" w:rsidRPr="00F24B5C">
        <w:t xml:space="preserve"> countless more, </w:t>
      </w:r>
      <w:r w:rsidR="00B17A52" w:rsidRPr="00F24B5C">
        <w:t>and had</w:t>
      </w:r>
      <w:r w:rsidR="006E22E0" w:rsidRPr="00F24B5C">
        <w:t xml:space="preserve"> temporarily disabled the entire London public transport system. When the first three applicants and Mr Osman detonated their devices two weeks later, the police had to work on the assumption that their conspiracy was an attempt to replicate the events of 7 July. At that stage, the police could not know why the bombs on 21 July had failed to explode and they had to </w:t>
      </w:r>
      <w:r w:rsidR="00E67D3F" w:rsidRPr="00F24B5C">
        <w:t>assume</w:t>
      </w:r>
      <w:r w:rsidR="006E22E0" w:rsidRPr="00F24B5C">
        <w:t xml:space="preserve"> that those responsible might attempt to detonate other bombs. </w:t>
      </w:r>
      <w:r w:rsidR="00404BA5" w:rsidRPr="00F24B5C">
        <w:t xml:space="preserve">The possibility of further loss of life on a large scale was no doubt foremost in their minds. </w:t>
      </w:r>
      <w:r w:rsidR="00262937" w:rsidRPr="00F24B5C">
        <w:t xml:space="preserve">The need to obtain, as a matter of critical urgency, information on any further planned attacks and the identities of those potentially involved in the plot, while ensuring </w:t>
      </w:r>
      <w:r w:rsidR="00262937" w:rsidRPr="00F24B5C">
        <w:lastRenderedPageBreak/>
        <w:t>that the integrity of the investigation was not compromised by leaks, was clearly of the most compelling nature.</w:t>
      </w:r>
    </w:p>
    <w:p w:rsidR="006E22E0" w:rsidRPr="00ED5A66" w:rsidRDefault="00555E80" w:rsidP="00ED5A66">
      <w:pPr>
        <w:pStyle w:val="JuPara"/>
        <w:rPr>
          <w:i/>
        </w:rPr>
      </w:pPr>
      <w:r>
        <w:fldChar w:fldCharType="begin"/>
      </w:r>
      <w:r>
        <w:instrText xml:space="preserve"> SEQ level0 \*arabic </w:instrText>
      </w:r>
      <w:r>
        <w:fldChar w:fldCharType="separate"/>
      </w:r>
      <w:r w:rsidR="00517F95">
        <w:rPr>
          <w:noProof/>
        </w:rPr>
        <w:t>201</w:t>
      </w:r>
      <w:r>
        <w:rPr>
          <w:noProof/>
        </w:rPr>
        <w:fldChar w:fldCharType="end"/>
      </w:r>
      <w:r w:rsidR="006E22E0">
        <w:t>.  </w:t>
      </w:r>
      <w:r w:rsidR="00BD7F73">
        <w:t>As regards the first three applicants, t</w:t>
      </w:r>
      <w:r w:rsidR="006E22E0" w:rsidRPr="00092C3A">
        <w:t xml:space="preserve">he police were also operating under severe practical </w:t>
      </w:r>
      <w:r w:rsidR="004C5BFE">
        <w:t>constraints</w:t>
      </w:r>
      <w:r w:rsidR="006E22E0" w:rsidRPr="00092C3A">
        <w:t>. While there were extensive facilities at the police station for the detention of terrorist suspects and the investigation of terrorism offences, when the safe</w:t>
      </w:r>
      <w:r w:rsidR="00B17A52">
        <w:t>ty interviews were taking place</w:t>
      </w:r>
      <w:r w:rsidR="006E22E0" w:rsidRPr="00092C3A">
        <w:t xml:space="preserve"> the custody facilities were full. There were eighteen detainees</w:t>
      </w:r>
      <w:r w:rsidR="00BD7F73">
        <w:t xml:space="preserve"> arrested in connection with the attempted bombings</w:t>
      </w:r>
      <w:r w:rsidR="006E22E0" w:rsidRPr="00092C3A">
        <w:t>, all of whom had to be detained separately to avoid communication and cross-contamination of forensic evidence</w:t>
      </w:r>
      <w:r w:rsidR="006E22E0">
        <w:t xml:space="preserve"> (see </w:t>
      </w:r>
      <w:r w:rsidR="00A2376B">
        <w:t>the trial judge</w:t>
      </w:r>
      <w:r w:rsidR="005E7B7A">
        <w:t>’</w:t>
      </w:r>
      <w:r w:rsidR="00A2376B">
        <w:t>s</w:t>
      </w:r>
      <w:r w:rsidR="006E22E0">
        <w:t xml:space="preserve"> ruling at paragraph </w:t>
      </w:r>
      <w:r w:rsidR="0082058A">
        <w:fldChar w:fldCharType="begin"/>
      </w:r>
      <w:r w:rsidR="006E22E0">
        <w:instrText xml:space="preserve"> REF PaddingtonGreenfacilitiesFulford \h </w:instrText>
      </w:r>
      <w:r w:rsidR="0082058A">
        <w:fldChar w:fldCharType="separate"/>
      </w:r>
      <w:r w:rsidR="00517F95">
        <w:rPr>
          <w:noProof/>
        </w:rPr>
        <w:t>54</w:t>
      </w:r>
      <w:r w:rsidR="0082058A">
        <w:fldChar w:fldCharType="end"/>
      </w:r>
      <w:r w:rsidR="006E22E0">
        <w:t xml:space="preserve"> above)</w:t>
      </w:r>
      <w:r w:rsidR="006E22E0" w:rsidRPr="00092C3A">
        <w:t>.</w:t>
      </w:r>
      <w:r w:rsidR="009E0293">
        <w:t xml:space="preserve"> </w:t>
      </w:r>
      <w:r w:rsidR="006E22E0">
        <w:t>In spite of those pressures, save for the errors as to the wrong cautions</w:t>
      </w:r>
      <w:r w:rsidR="009E0293">
        <w:t xml:space="preserve"> (see paragraphs </w:t>
      </w:r>
      <w:r w:rsidR="003D1B82">
        <w:fldChar w:fldCharType="begin"/>
      </w:r>
      <w:r w:rsidR="003D1B82">
        <w:instrText xml:space="preserve"> REF aaa15omarcaution \h </w:instrText>
      </w:r>
      <w:r w:rsidR="003D1B82">
        <w:fldChar w:fldCharType="separate"/>
      </w:r>
      <w:r w:rsidR="00517F95">
        <w:rPr>
          <w:noProof/>
        </w:rPr>
        <w:t>15</w:t>
      </w:r>
      <w:r w:rsidR="003D1B82">
        <w:fldChar w:fldCharType="end"/>
      </w:r>
      <w:r w:rsidR="003D1B82">
        <w:t xml:space="preserve">, </w:t>
      </w:r>
      <w:r w:rsidR="003D1B82">
        <w:fldChar w:fldCharType="begin"/>
      </w:r>
      <w:r w:rsidR="003D1B82">
        <w:instrText xml:space="preserve"> REF aaa22omarcaution \h </w:instrText>
      </w:r>
      <w:r w:rsidR="003D1B82">
        <w:fldChar w:fldCharType="separate"/>
      </w:r>
      <w:r w:rsidR="00517F95">
        <w:rPr>
          <w:noProof/>
        </w:rPr>
        <w:t>22</w:t>
      </w:r>
      <w:r w:rsidR="003D1B82">
        <w:fldChar w:fldCharType="end"/>
      </w:r>
      <w:r w:rsidR="003D1B82">
        <w:t>-</w:t>
      </w:r>
      <w:r w:rsidR="003D1B82">
        <w:fldChar w:fldCharType="begin"/>
      </w:r>
      <w:r w:rsidR="003D1B82">
        <w:instrText xml:space="preserve"> REF aaa23omarcaution \h </w:instrText>
      </w:r>
      <w:r w:rsidR="003D1B82">
        <w:fldChar w:fldCharType="separate"/>
      </w:r>
      <w:r w:rsidR="00517F95">
        <w:rPr>
          <w:noProof/>
        </w:rPr>
        <w:t>23</w:t>
      </w:r>
      <w:r w:rsidR="003D1B82">
        <w:fldChar w:fldCharType="end"/>
      </w:r>
      <w:r w:rsidR="003F1ADE">
        <w:t>,</w:t>
      </w:r>
      <w:r w:rsidR="003D1B82">
        <w:t xml:space="preserve"> </w:t>
      </w:r>
      <w:r w:rsidR="003D1B82">
        <w:fldChar w:fldCharType="begin"/>
      </w:r>
      <w:r w:rsidR="003D1B82">
        <w:instrText xml:space="preserve"> REF aaa24omarcaution \h </w:instrText>
      </w:r>
      <w:r w:rsidR="003D1B82">
        <w:fldChar w:fldCharType="separate"/>
      </w:r>
      <w:r w:rsidR="00517F95">
        <w:rPr>
          <w:noProof/>
        </w:rPr>
        <w:t>25</w:t>
      </w:r>
      <w:r w:rsidR="003D1B82">
        <w:fldChar w:fldCharType="end"/>
      </w:r>
      <w:r w:rsidR="003D1B82">
        <w:t>-</w:t>
      </w:r>
      <w:r w:rsidR="003D1B82">
        <w:fldChar w:fldCharType="begin"/>
      </w:r>
      <w:r w:rsidR="003D1B82">
        <w:instrText xml:space="preserve"> REF aaa26omarcaution \h </w:instrText>
      </w:r>
      <w:r w:rsidR="003D1B82">
        <w:fldChar w:fldCharType="separate"/>
      </w:r>
      <w:r w:rsidR="00517F95">
        <w:rPr>
          <w:noProof/>
        </w:rPr>
        <w:t>26</w:t>
      </w:r>
      <w:r w:rsidR="003D1B82">
        <w:fldChar w:fldCharType="end"/>
      </w:r>
      <w:r w:rsidR="003D1B82">
        <w:t xml:space="preserve">, </w:t>
      </w:r>
      <w:r w:rsidR="003D1B82">
        <w:fldChar w:fldCharType="begin"/>
      </w:r>
      <w:r w:rsidR="003D1B82">
        <w:instrText xml:space="preserve"> REF aaa30ibrahimcaution \h </w:instrText>
      </w:r>
      <w:r w:rsidR="003D1B82">
        <w:fldChar w:fldCharType="separate"/>
      </w:r>
      <w:r w:rsidR="00517F95">
        <w:rPr>
          <w:noProof/>
        </w:rPr>
        <w:t>30</w:t>
      </w:r>
      <w:r w:rsidR="003D1B82">
        <w:fldChar w:fldCharType="end"/>
      </w:r>
      <w:r w:rsidR="003D1B82">
        <w:t xml:space="preserve">, </w:t>
      </w:r>
      <w:r w:rsidR="003D1B82">
        <w:fldChar w:fldCharType="begin"/>
      </w:r>
      <w:r w:rsidR="003D1B82">
        <w:instrText xml:space="preserve"> REF aaa36ibrahimcaution \h </w:instrText>
      </w:r>
      <w:r w:rsidR="003D1B82">
        <w:fldChar w:fldCharType="separate"/>
      </w:r>
      <w:r w:rsidR="00517F95">
        <w:rPr>
          <w:noProof/>
        </w:rPr>
        <w:t>36</w:t>
      </w:r>
      <w:r w:rsidR="003D1B82">
        <w:fldChar w:fldCharType="end"/>
      </w:r>
      <w:r w:rsidR="003D1B82">
        <w:t xml:space="preserve">, </w:t>
      </w:r>
      <w:r w:rsidR="003D1B82">
        <w:fldChar w:fldCharType="begin"/>
      </w:r>
      <w:r w:rsidR="003D1B82">
        <w:instrText xml:space="preserve"> REF aaa40mohammedcaution \h </w:instrText>
      </w:r>
      <w:r w:rsidR="003D1B82">
        <w:fldChar w:fldCharType="separate"/>
      </w:r>
      <w:r w:rsidR="00517F95">
        <w:rPr>
          <w:noProof/>
        </w:rPr>
        <w:t>40</w:t>
      </w:r>
      <w:r w:rsidR="003D1B82">
        <w:fldChar w:fldCharType="end"/>
      </w:r>
      <w:r w:rsidR="003D1B82">
        <w:t xml:space="preserve">, </w:t>
      </w:r>
      <w:r w:rsidR="003D1B82">
        <w:fldChar w:fldCharType="begin"/>
      </w:r>
      <w:r w:rsidR="003D1B82">
        <w:instrText xml:space="preserve"> REF aaa45mohammedcaution \h </w:instrText>
      </w:r>
      <w:r w:rsidR="003D1B82">
        <w:fldChar w:fldCharType="separate"/>
      </w:r>
      <w:r w:rsidR="00517F95">
        <w:rPr>
          <w:noProof/>
        </w:rPr>
        <w:t>45</w:t>
      </w:r>
      <w:r w:rsidR="003D1B82">
        <w:fldChar w:fldCharType="end"/>
      </w:r>
      <w:r w:rsidR="003D1B82">
        <w:t xml:space="preserve">, </w:t>
      </w:r>
      <w:r w:rsidR="003D1B82">
        <w:fldChar w:fldCharType="begin"/>
      </w:r>
      <w:r w:rsidR="003D1B82">
        <w:instrText xml:space="preserve"> REF aaa51 \h </w:instrText>
      </w:r>
      <w:r w:rsidR="003D1B82">
        <w:fldChar w:fldCharType="separate"/>
      </w:r>
      <w:r w:rsidR="00517F95">
        <w:rPr>
          <w:noProof/>
        </w:rPr>
        <w:t>51</w:t>
      </w:r>
      <w:r w:rsidR="003D1B82">
        <w:fldChar w:fldCharType="end"/>
      </w:r>
      <w:r w:rsidR="003D1B82">
        <w:t xml:space="preserve">, </w:t>
      </w:r>
      <w:r w:rsidR="003D1B82">
        <w:fldChar w:fldCharType="begin"/>
      </w:r>
      <w:r w:rsidR="003D1B82">
        <w:instrText xml:space="preserve"> REF aaa55 \h </w:instrText>
      </w:r>
      <w:r w:rsidR="003D1B82">
        <w:fldChar w:fldCharType="separate"/>
      </w:r>
      <w:r w:rsidR="00517F95">
        <w:rPr>
          <w:noProof/>
        </w:rPr>
        <w:t>55</w:t>
      </w:r>
      <w:r w:rsidR="003D1B82">
        <w:fldChar w:fldCharType="end"/>
      </w:r>
      <w:r w:rsidR="003D1B82">
        <w:t>-</w:t>
      </w:r>
      <w:r w:rsidR="003D1B82">
        <w:fldChar w:fldCharType="begin"/>
      </w:r>
      <w:r w:rsidR="003D1B82">
        <w:instrText xml:space="preserve"> REF aaa58 \h </w:instrText>
      </w:r>
      <w:r w:rsidR="003D1B82">
        <w:fldChar w:fldCharType="separate"/>
      </w:r>
      <w:r w:rsidR="00517F95">
        <w:rPr>
          <w:noProof/>
        </w:rPr>
        <w:t>58</w:t>
      </w:r>
      <w:r w:rsidR="003D1B82">
        <w:fldChar w:fldCharType="end"/>
      </w:r>
      <w:r w:rsidR="003D1B82">
        <w:t xml:space="preserve">, </w:t>
      </w:r>
      <w:r w:rsidR="003D1B82">
        <w:fldChar w:fldCharType="begin"/>
      </w:r>
      <w:r w:rsidR="003D1B82">
        <w:instrText xml:space="preserve"> REF aaa64 \h </w:instrText>
      </w:r>
      <w:r w:rsidR="003D1B82">
        <w:fldChar w:fldCharType="separate"/>
      </w:r>
      <w:r w:rsidR="00517F95">
        <w:rPr>
          <w:noProof/>
        </w:rPr>
        <w:t>64</w:t>
      </w:r>
      <w:r w:rsidR="003D1B82">
        <w:fldChar w:fldCharType="end"/>
      </w:r>
      <w:r w:rsidR="003D1B82">
        <w:t xml:space="preserve">, </w:t>
      </w:r>
      <w:r w:rsidR="003D1B82">
        <w:fldChar w:fldCharType="begin"/>
      </w:r>
      <w:r w:rsidR="003D1B82">
        <w:instrText xml:space="preserve"> REF aaa67 \h </w:instrText>
      </w:r>
      <w:r w:rsidR="003D1B82">
        <w:fldChar w:fldCharType="separate"/>
      </w:r>
      <w:r w:rsidR="00517F95">
        <w:rPr>
          <w:noProof/>
        </w:rPr>
        <w:t>67</w:t>
      </w:r>
      <w:r w:rsidR="003D1B82">
        <w:fldChar w:fldCharType="end"/>
      </w:r>
      <w:r w:rsidR="003D1B82">
        <w:t>-</w:t>
      </w:r>
      <w:r w:rsidR="003D1B82">
        <w:fldChar w:fldCharType="begin"/>
      </w:r>
      <w:r w:rsidR="003D1B82">
        <w:instrText xml:space="preserve"> REF aaa68 \h </w:instrText>
      </w:r>
      <w:r w:rsidR="003D1B82">
        <w:fldChar w:fldCharType="separate"/>
      </w:r>
      <w:r w:rsidR="00517F95">
        <w:rPr>
          <w:noProof/>
        </w:rPr>
        <w:t>68</w:t>
      </w:r>
      <w:r w:rsidR="003D1B82">
        <w:fldChar w:fldCharType="end"/>
      </w:r>
      <w:r w:rsidR="003D1B82">
        <w:t xml:space="preserve">, </w:t>
      </w:r>
      <w:r w:rsidR="003D1B82">
        <w:fldChar w:fldCharType="begin"/>
      </w:r>
      <w:r w:rsidR="003D1B82">
        <w:instrText xml:space="preserve"> REF aaa80 \h </w:instrText>
      </w:r>
      <w:r w:rsidR="003D1B82">
        <w:fldChar w:fldCharType="separate"/>
      </w:r>
      <w:r w:rsidR="00517F95">
        <w:rPr>
          <w:noProof/>
        </w:rPr>
        <w:t>80</w:t>
      </w:r>
      <w:r w:rsidR="003D1B82">
        <w:fldChar w:fldCharType="end"/>
      </w:r>
      <w:r w:rsidR="003F1ADE">
        <w:t>,</w:t>
      </w:r>
      <w:r w:rsidR="003D1B82">
        <w:t xml:space="preserve"> </w:t>
      </w:r>
      <w:r w:rsidR="003D1B82">
        <w:fldChar w:fldCharType="begin"/>
      </w:r>
      <w:r w:rsidR="003D1B82">
        <w:instrText xml:space="preserve"> REF CourtofAppealliednotselfincriminated \h </w:instrText>
      </w:r>
      <w:r w:rsidR="003D1B82">
        <w:fldChar w:fldCharType="separate"/>
      </w:r>
      <w:r w:rsidR="00517F95">
        <w:rPr>
          <w:noProof/>
        </w:rPr>
        <w:t>93</w:t>
      </w:r>
      <w:r w:rsidR="003D1B82">
        <w:fldChar w:fldCharType="end"/>
      </w:r>
      <w:r w:rsidR="003D1B82">
        <w:t xml:space="preserve"> and </w:t>
      </w:r>
      <w:r w:rsidR="003D1B82">
        <w:fldChar w:fldCharType="begin"/>
      </w:r>
      <w:r w:rsidR="003D1B82">
        <w:instrText xml:space="preserve"> REF aaa134 \h </w:instrText>
      </w:r>
      <w:r w:rsidR="003D1B82">
        <w:fldChar w:fldCharType="separate"/>
      </w:r>
      <w:r w:rsidR="00517F95">
        <w:rPr>
          <w:noProof/>
        </w:rPr>
        <w:t>134</w:t>
      </w:r>
      <w:r w:rsidR="003D1B82">
        <w:fldChar w:fldCharType="end"/>
      </w:r>
      <w:r w:rsidR="003D1B82">
        <w:t>-</w:t>
      </w:r>
      <w:r w:rsidR="003D1B82">
        <w:fldChar w:fldCharType="begin"/>
      </w:r>
      <w:r w:rsidR="003D1B82">
        <w:instrText xml:space="preserve"> REF aaa138 \h </w:instrText>
      </w:r>
      <w:r w:rsidR="003D1B82">
        <w:fldChar w:fldCharType="separate"/>
      </w:r>
      <w:r w:rsidR="00517F95">
        <w:rPr>
          <w:noProof/>
        </w:rPr>
        <w:t>138</w:t>
      </w:r>
      <w:r w:rsidR="003D1B82">
        <w:fldChar w:fldCharType="end"/>
      </w:r>
      <w:r w:rsidR="003D1B82">
        <w:t xml:space="preserve"> above)</w:t>
      </w:r>
      <w:r w:rsidR="006E22E0">
        <w:t xml:space="preserve">, the police adhered strictly to the legislative framework which regulated how they </w:t>
      </w:r>
      <w:r w:rsidR="00B17A52">
        <w:t>had to</w:t>
      </w:r>
      <w:r w:rsidR="006E22E0">
        <w:t xml:space="preserve"> conduct their investigation</w:t>
      </w:r>
      <w:r w:rsidR="00BD7F73">
        <w:t xml:space="preserve"> </w:t>
      </w:r>
      <w:r w:rsidR="009E0293">
        <w:t>(see paragraph </w:t>
      </w:r>
      <w:r w:rsidR="0082058A">
        <w:fldChar w:fldCharType="begin"/>
      </w:r>
      <w:r w:rsidR="006E22E0">
        <w:instrText xml:space="preserve"> REF para8ofschedule8 \h </w:instrText>
      </w:r>
      <w:r w:rsidR="0082058A">
        <w:fldChar w:fldCharType="separate"/>
      </w:r>
      <w:r w:rsidR="00517F95">
        <w:rPr>
          <w:noProof/>
        </w:rPr>
        <w:t>142</w:t>
      </w:r>
      <w:r w:rsidR="0082058A">
        <w:fldChar w:fldCharType="end"/>
      </w:r>
      <w:r w:rsidR="006E22E0">
        <w:t xml:space="preserve"> above). </w:t>
      </w:r>
      <w:r w:rsidR="00B17A52">
        <w:t>There is no doubt</w:t>
      </w:r>
      <w:r w:rsidR="006E22E0">
        <w:t xml:space="preserve"> that </w:t>
      </w:r>
      <w:r w:rsidR="00BD7F73">
        <w:t>the superintendents who</w:t>
      </w:r>
      <w:r w:rsidR="00847C02">
        <w:t xml:space="preserve"> </w:t>
      </w:r>
      <w:r w:rsidR="00BD7F73">
        <w:t>authorised the restrictions</w:t>
      </w:r>
      <w:r w:rsidR="00847C02">
        <w:t xml:space="preserve"> on the applicants</w:t>
      </w:r>
      <w:r w:rsidR="005E7B7A">
        <w:t>’</w:t>
      </w:r>
      <w:r w:rsidR="00847C02">
        <w:t xml:space="preserve"> access to legal advice</w:t>
      </w:r>
      <w:r w:rsidR="00BD7F73">
        <w:t xml:space="preserve"> </w:t>
      </w:r>
      <w:r w:rsidR="00847C02">
        <w:t xml:space="preserve">had </w:t>
      </w:r>
      <w:r w:rsidR="00BD7F73">
        <w:t xml:space="preserve">reasonable grounds for their beliefs that </w:t>
      </w:r>
      <w:r w:rsidR="00404BA5">
        <w:t xml:space="preserve">such </w:t>
      </w:r>
      <w:r w:rsidR="00BD7F73">
        <w:t>restrictions were necessary</w:t>
      </w:r>
      <w:r w:rsidR="00F71299">
        <w:t xml:space="preserve"> in order to counter a reasonably perceived and serious threat to the safety of the public</w:t>
      </w:r>
      <w:r w:rsidR="006E22E0">
        <w:t xml:space="preserve"> </w:t>
      </w:r>
      <w:r w:rsidR="00F71299">
        <w:t>since</w:t>
      </w:r>
      <w:r w:rsidR="006E22E0">
        <w:t xml:space="preserve"> those grounds were contemporaneously recorded by the police in the </w:t>
      </w:r>
      <w:r w:rsidR="00847C02">
        <w:t>relevant</w:t>
      </w:r>
      <w:r w:rsidR="006E22E0">
        <w:t xml:space="preserve"> custody records and they were full, compelling and convincing (see paragraph</w:t>
      </w:r>
      <w:r w:rsidR="00A2376B">
        <w:t>s</w:t>
      </w:r>
      <w:r w:rsidR="006E22E0">
        <w:t xml:space="preserve"> </w:t>
      </w:r>
      <w:r w:rsidR="0082058A">
        <w:fldChar w:fldCharType="begin"/>
      </w:r>
      <w:r w:rsidR="006E22E0">
        <w:instrText xml:space="preserve"> REF OmarreasonsforSIfinal \h </w:instrText>
      </w:r>
      <w:r w:rsidR="0082058A">
        <w:fldChar w:fldCharType="separate"/>
      </w:r>
      <w:r w:rsidR="00517F95">
        <w:rPr>
          <w:noProof/>
        </w:rPr>
        <w:t>21</w:t>
      </w:r>
      <w:r w:rsidR="0082058A">
        <w:fldChar w:fldCharType="end"/>
      </w:r>
      <w:bookmarkStart w:id="136" w:name="OmarreasonsforSI"/>
      <w:bookmarkEnd w:id="136"/>
      <w:r w:rsidR="00A2376B">
        <w:t xml:space="preserve">, </w:t>
      </w:r>
      <w:r w:rsidR="0082058A">
        <w:fldChar w:fldCharType="begin"/>
      </w:r>
      <w:r w:rsidR="006E22E0">
        <w:instrText xml:space="preserve"> REF IbrahimreasonsforSI \h </w:instrText>
      </w:r>
      <w:r w:rsidR="0082058A">
        <w:fldChar w:fldCharType="separate"/>
      </w:r>
      <w:r w:rsidR="00517F95">
        <w:rPr>
          <w:noProof/>
        </w:rPr>
        <w:t>33</w:t>
      </w:r>
      <w:r w:rsidR="0082058A">
        <w:fldChar w:fldCharType="end"/>
      </w:r>
      <w:r w:rsidR="006E22E0">
        <w:t xml:space="preserve"> </w:t>
      </w:r>
      <w:r w:rsidR="00A2376B">
        <w:t xml:space="preserve">and </w:t>
      </w:r>
      <w:r w:rsidR="0082058A">
        <w:fldChar w:fldCharType="begin"/>
      </w:r>
      <w:r w:rsidR="006E22E0">
        <w:instrText xml:space="preserve"> REF MohammedreasonsforSI \h </w:instrText>
      </w:r>
      <w:r w:rsidR="0082058A">
        <w:fldChar w:fldCharType="separate"/>
      </w:r>
      <w:r w:rsidR="00517F95">
        <w:rPr>
          <w:noProof/>
        </w:rPr>
        <w:t>42</w:t>
      </w:r>
      <w:r w:rsidR="0082058A">
        <w:fldChar w:fldCharType="end"/>
      </w:r>
      <w:r w:rsidR="006E22E0">
        <w:t xml:space="preserve"> above). </w:t>
      </w:r>
      <w:r w:rsidR="00F71299">
        <w:t>That there did exist an underlying urgent purpose of such a compelling character is borne out by the fact that the police questioning of the first three applicants was focused and concentrated on the threat posed to the public, rather than being directed at establishing their criminality (</w:t>
      </w:r>
      <w:r w:rsidR="001F2E9F">
        <w:t>as in</w:t>
      </w:r>
      <w:r w:rsidR="00F71299">
        <w:t xml:space="preserve"> the cases of </w:t>
      </w:r>
      <w:r w:rsidR="001F2E9F" w:rsidRPr="001F2E9F">
        <w:rPr>
          <w:i/>
        </w:rPr>
        <w:t>John Murray</w:t>
      </w:r>
      <w:r w:rsidR="001F2E9F">
        <w:t xml:space="preserve"> and </w:t>
      </w:r>
      <w:r w:rsidR="001F2E9F" w:rsidRPr="001F2E9F">
        <w:rPr>
          <w:i/>
        </w:rPr>
        <w:t>Magee</w:t>
      </w:r>
      <w:r w:rsidR="001F2E9F">
        <w:t xml:space="preserve">, both cited above). </w:t>
      </w:r>
      <w:r w:rsidR="00BD7F73">
        <w:t xml:space="preserve">It is further noteworthy that at the time that the restrictions were imposed, </w:t>
      </w:r>
      <w:r w:rsidR="006E22E0">
        <w:t>it was clear to the police</w:t>
      </w:r>
      <w:r w:rsidR="00B12E17">
        <w:t xml:space="preserve"> that</w:t>
      </w:r>
      <w:r w:rsidR="006E22E0">
        <w:t xml:space="preserve"> there were at least four men involved in the bombings, the last of whom, Mr Osman, was still at large.</w:t>
      </w:r>
      <w:r w:rsidR="00A123F6">
        <w:t xml:space="preserve"> </w:t>
      </w:r>
      <w:r w:rsidR="00B12E17">
        <w:t>The applicants</w:t>
      </w:r>
      <w:r w:rsidR="005E7B7A">
        <w:t>’</w:t>
      </w:r>
      <w:r w:rsidR="006E22E0">
        <w:t xml:space="preserve"> submission that the police could have waited until </w:t>
      </w:r>
      <w:r w:rsidR="00B12E17">
        <w:t>their</w:t>
      </w:r>
      <w:r w:rsidR="006E22E0">
        <w:t xml:space="preserve"> solicitors arrived </w:t>
      </w:r>
      <w:r w:rsidR="00C75126">
        <w:t>before beginning the interrogation</w:t>
      </w:r>
      <w:r w:rsidR="00B12E17">
        <w:t xml:space="preserve"> is misguided since</w:t>
      </w:r>
      <w:r w:rsidR="00C75126">
        <w:t xml:space="preserve"> it is eviden</w:t>
      </w:r>
      <w:r w:rsidR="005708BB">
        <w:t xml:space="preserve">t </w:t>
      </w:r>
      <w:r w:rsidR="00C75126">
        <w:t xml:space="preserve">that </w:t>
      </w:r>
      <w:r w:rsidR="00B12E17">
        <w:t xml:space="preserve">at least part of the reason for delaying access to legal advice was because </w:t>
      </w:r>
      <w:r w:rsidR="002512BD">
        <w:t>the police were concerned</w:t>
      </w:r>
      <w:r w:rsidR="006E22E0">
        <w:t xml:space="preserve"> that access to legal advice would lead to the alerting of other suspects (see paragraphs </w:t>
      </w:r>
      <w:r w:rsidR="0082058A">
        <w:fldChar w:fldCharType="begin"/>
      </w:r>
      <w:r w:rsidR="006E22E0">
        <w:instrText xml:space="preserve"> REF OmarreasonsforSIfinal \h </w:instrText>
      </w:r>
      <w:r w:rsidR="0082058A">
        <w:fldChar w:fldCharType="separate"/>
      </w:r>
      <w:r w:rsidR="00517F95">
        <w:rPr>
          <w:noProof/>
        </w:rPr>
        <w:t>21</w:t>
      </w:r>
      <w:r w:rsidR="0082058A">
        <w:fldChar w:fldCharType="end"/>
      </w:r>
      <w:r w:rsidR="006E22E0">
        <w:t xml:space="preserve">, </w:t>
      </w:r>
      <w:r w:rsidR="0082058A">
        <w:fldChar w:fldCharType="begin"/>
      </w:r>
      <w:r w:rsidR="006E22E0">
        <w:instrText xml:space="preserve"> REF IbrahimreasonsforSI \h </w:instrText>
      </w:r>
      <w:r w:rsidR="0082058A">
        <w:fldChar w:fldCharType="separate"/>
      </w:r>
      <w:r w:rsidR="00517F95">
        <w:rPr>
          <w:noProof/>
        </w:rPr>
        <w:t>33</w:t>
      </w:r>
      <w:r w:rsidR="0082058A">
        <w:fldChar w:fldCharType="end"/>
      </w:r>
      <w:r w:rsidR="001A6C24">
        <w:t xml:space="preserve"> and</w:t>
      </w:r>
      <w:r w:rsidR="006E22E0">
        <w:t xml:space="preserve"> </w:t>
      </w:r>
      <w:r w:rsidR="0082058A">
        <w:fldChar w:fldCharType="begin"/>
      </w:r>
      <w:r w:rsidR="006E22E0">
        <w:instrText xml:space="preserve"> REF MohammedreasonsforSI \h </w:instrText>
      </w:r>
      <w:r w:rsidR="0082058A">
        <w:fldChar w:fldCharType="separate"/>
      </w:r>
      <w:r w:rsidR="00517F95">
        <w:rPr>
          <w:noProof/>
        </w:rPr>
        <w:t>42</w:t>
      </w:r>
      <w:r w:rsidR="0082058A">
        <w:fldChar w:fldCharType="end"/>
      </w:r>
      <w:r w:rsidR="00A123F6">
        <w:t xml:space="preserve"> above).</w:t>
      </w:r>
    </w:p>
    <w:bookmarkStart w:id="137" w:name="Abduvoluntaryattend"/>
    <w:bookmarkStart w:id="138" w:name="Ladbucompelling"/>
    <w:p w:rsidR="006E22E0" w:rsidRPr="00B248BA" w:rsidRDefault="0082058A" w:rsidP="00280C52">
      <w:pPr>
        <w:pStyle w:val="JuPara"/>
        <w:ind w:right="-13"/>
      </w:pPr>
      <w:r>
        <w:fldChar w:fldCharType="begin"/>
      </w:r>
      <w:r w:rsidR="00C04CCA">
        <w:instrText xml:space="preserve"> SEQ level0 \*arabic </w:instrText>
      </w:r>
      <w:r>
        <w:fldChar w:fldCharType="separate"/>
      </w:r>
      <w:r w:rsidR="00517F95">
        <w:rPr>
          <w:noProof/>
        </w:rPr>
        <w:t>202</w:t>
      </w:r>
      <w:r>
        <w:rPr>
          <w:noProof/>
        </w:rPr>
        <w:fldChar w:fldCharType="end"/>
      </w:r>
      <w:bookmarkEnd w:id="137"/>
      <w:bookmarkEnd w:id="138"/>
      <w:r w:rsidR="006E22E0">
        <w:t>.  </w:t>
      </w:r>
      <w:r w:rsidR="002C4D7C">
        <w:t>The restriction on the fourth applicant</w:t>
      </w:r>
      <w:r w:rsidR="005E7B7A">
        <w:t>’</w:t>
      </w:r>
      <w:r w:rsidR="002C4D7C">
        <w:t>s access to legal advice was of a different nature. He had voluntarily accompanied the police officer</w:t>
      </w:r>
      <w:r w:rsidR="00D93524">
        <w:t>s</w:t>
      </w:r>
      <w:r w:rsidR="002C4D7C">
        <w:t xml:space="preserve"> to the police station after agreeing to assist with the</w:t>
      </w:r>
      <w:r w:rsidR="00D93524">
        <w:t xml:space="preserve"> police</w:t>
      </w:r>
      <w:r w:rsidR="002C4D7C">
        <w:t xml:space="preserve"> investigation. As a witness, and not a suspect, </w:t>
      </w:r>
      <w:r w:rsidR="005525F3">
        <w:t>there was no need for the police to consider whether the fourth applicant ought to be provided with legal advice. The fourth applicant asserts that he ought to have been placed under arrest and treated as a suspect, with all the procedural guarantees that status entailed.</w:t>
      </w:r>
      <w:r w:rsidR="007220BA">
        <w:t xml:space="preserve"> </w:t>
      </w:r>
      <w:r w:rsidR="00262937">
        <w:t xml:space="preserve">While the decision not to arrest and caution the fourth applicant at the point at which </w:t>
      </w:r>
      <w:r w:rsidR="00B12E17">
        <w:t xml:space="preserve">his answers began to suggest his involvement in </w:t>
      </w:r>
      <w:r w:rsidR="00262937">
        <w:t xml:space="preserve">a criminal offence was, as the Court of Appeal found, troubling (see paragraph </w:t>
      </w:r>
      <w:r>
        <w:fldChar w:fldCharType="begin"/>
      </w:r>
      <w:r w:rsidR="00B12E17">
        <w:instrText xml:space="preserve"> REF CourtofAppealfourthapplicanttroubling \h </w:instrText>
      </w:r>
      <w:r>
        <w:fldChar w:fldCharType="separate"/>
      </w:r>
      <w:r w:rsidR="00517F95">
        <w:rPr>
          <w:noProof/>
        </w:rPr>
        <w:t>127</w:t>
      </w:r>
      <w:r>
        <w:fldChar w:fldCharType="end"/>
      </w:r>
      <w:r w:rsidR="00B12E17">
        <w:t xml:space="preserve"> </w:t>
      </w:r>
      <w:r w:rsidR="00262937">
        <w:t>above) and</w:t>
      </w:r>
      <w:r w:rsidR="00D962D6">
        <w:t xml:space="preserve"> </w:t>
      </w:r>
      <w:r w:rsidR="00D962D6">
        <w:lastRenderedPageBreak/>
        <w:t>in breach of Code C</w:t>
      </w:r>
      <w:r w:rsidR="00262937">
        <w:t xml:space="preserve">, the exceptional circumstances in which the police were operating must be borne in mind. </w:t>
      </w:r>
      <w:r w:rsidR="007C3032">
        <w:t>A</w:t>
      </w:r>
      <w:r w:rsidR="00404BA5">
        <w:t xml:space="preserve">gain as the Court of Appeal pointed out, the police dilemma at that stage was entirely understandable. </w:t>
      </w:r>
      <w:r w:rsidR="00262937">
        <w:t>The applicant was providing key information about the identity and whereabouts of the suspected fourth bomber, as well as details concerning the identity of the other bombers. At the time of the fourth applicant</w:t>
      </w:r>
      <w:r w:rsidR="005E7B7A">
        <w:t>’</w:t>
      </w:r>
      <w:r w:rsidR="00262937">
        <w:t xml:space="preserve">s </w:t>
      </w:r>
      <w:r w:rsidR="002C4D7C">
        <w:t>first police</w:t>
      </w:r>
      <w:r w:rsidR="00B12E17">
        <w:t xml:space="preserve"> interview on </w:t>
      </w:r>
      <w:r w:rsidR="00B12E17" w:rsidRPr="009325D4">
        <w:t>the evening of 27</w:t>
      </w:r>
      <w:r w:rsidR="00A123F6">
        <w:t xml:space="preserve"> </w:t>
      </w:r>
      <w:r w:rsidR="002C4D7C" w:rsidRPr="009325D4">
        <w:t>July 2005</w:t>
      </w:r>
      <w:r w:rsidR="00262937" w:rsidRPr="009325D4">
        <w:t>, only Mr Omar had been arrested</w:t>
      </w:r>
      <w:r w:rsidR="00404BA5" w:rsidRPr="009325D4">
        <w:t xml:space="preserve"> and he had provided no useful information on the nature of the plot or the identities of those involved</w:t>
      </w:r>
      <w:r w:rsidR="00262937" w:rsidRPr="009325D4">
        <w:t xml:space="preserve">. The remaining three bombers were still at large and their identification and arrest were imperative for public safety reasons. </w:t>
      </w:r>
      <w:r w:rsidR="002C4D7C" w:rsidRPr="009325D4">
        <w:t xml:space="preserve">It was for </w:t>
      </w:r>
      <w:r w:rsidR="002C4D7C" w:rsidRPr="00B248BA">
        <w:t xml:space="preserve">the police to decide what course of action was most likely to lead to information on </w:t>
      </w:r>
      <w:r w:rsidR="00D34B10" w:rsidRPr="00B248BA">
        <w:t xml:space="preserve">the extent of the risk to public safety and </w:t>
      </w:r>
      <w:r w:rsidR="002C4D7C" w:rsidRPr="00B248BA">
        <w:t>the wher</w:t>
      </w:r>
      <w:r w:rsidR="00D34B10" w:rsidRPr="00B248BA">
        <w:t>eabouts of the remaining bomber</w:t>
      </w:r>
      <w:r w:rsidR="00067806" w:rsidRPr="00B248BA">
        <w:t>s</w:t>
      </w:r>
      <w:r w:rsidR="006D3087" w:rsidRPr="00B248BA">
        <w:t>. Th</w:t>
      </w:r>
      <w:r w:rsidR="00280C52" w:rsidRPr="00B248BA">
        <w:t xml:space="preserve">e decision not to arrest the fourth applicant, </w:t>
      </w:r>
      <w:r w:rsidR="00697E83" w:rsidRPr="00B248BA">
        <w:t>apparently</w:t>
      </w:r>
      <w:r w:rsidR="008E4413" w:rsidRPr="00B248BA">
        <w:t xml:space="preserve"> based on the fear</w:t>
      </w:r>
      <w:r w:rsidR="00280C52" w:rsidRPr="00B248BA">
        <w:t xml:space="preserve"> that a formal arrest mig</w:t>
      </w:r>
      <w:r w:rsidR="006D3087" w:rsidRPr="00B248BA">
        <w:t xml:space="preserve">ht lead </w:t>
      </w:r>
      <w:r w:rsidR="00280C52" w:rsidRPr="00B248BA">
        <w:t>him</w:t>
      </w:r>
      <w:r w:rsidR="006D3087" w:rsidRPr="00B248BA">
        <w:t xml:space="preserve"> to stop disclosing information of the utmost relevance to the public safety issues facing the police</w:t>
      </w:r>
      <w:r w:rsidR="00280C52" w:rsidRPr="00B248BA">
        <w:t>,</w:t>
      </w:r>
      <w:r w:rsidR="006D3087" w:rsidRPr="00B248BA">
        <w:t xml:space="preserve"> was not an unreas</w:t>
      </w:r>
      <w:r w:rsidR="00280C52" w:rsidRPr="00B248BA">
        <w:t>onable one in the circumstances. T</w:t>
      </w:r>
      <w:r w:rsidR="006D3087" w:rsidRPr="00B248BA">
        <w:t>he</w:t>
      </w:r>
      <w:r w:rsidR="00280C52" w:rsidRPr="00B248BA">
        <w:t xml:space="preserve"> imperative </w:t>
      </w:r>
      <w:r w:rsidR="00047C68" w:rsidRPr="00B248BA">
        <w:t xml:space="preserve">to obtain this information </w:t>
      </w:r>
      <w:r w:rsidR="00697E83" w:rsidRPr="00B248BA">
        <w:t>concerning the immediate sa</w:t>
      </w:r>
      <w:r w:rsidR="00EE1B93" w:rsidRPr="00B248BA">
        <w:t xml:space="preserve">fety of the public </w:t>
      </w:r>
      <w:r w:rsidR="00047C68" w:rsidRPr="00B248BA">
        <w:t>was</w:t>
      </w:r>
      <w:r w:rsidR="00280C52" w:rsidRPr="00B248BA">
        <w:t xml:space="preserve"> of greater importance to the police at the time of the fourth applicant</w:t>
      </w:r>
      <w:r w:rsidR="005E7B7A">
        <w:t>’</w:t>
      </w:r>
      <w:r w:rsidR="00280C52" w:rsidRPr="00B248BA">
        <w:t>s questioning than</w:t>
      </w:r>
      <w:r w:rsidR="003D1B82" w:rsidRPr="003D1B82">
        <w:t xml:space="preserve"> </w:t>
      </w:r>
      <w:r w:rsidR="003D1B82" w:rsidRPr="00B248BA">
        <w:t>any concern whether he had committed a criminal offence</w:t>
      </w:r>
      <w:r w:rsidR="00BE6067" w:rsidRPr="00B248BA">
        <w:t xml:space="preserve">. </w:t>
      </w:r>
      <w:r w:rsidR="006D3087" w:rsidRPr="00B248BA">
        <w:t>Given the extreme conditions and time pressure under which they were then operating, this is not a decision that the Court can second-guess.</w:t>
      </w:r>
    </w:p>
    <w:bookmarkStart w:id="139" w:name="Lcompellingconc"/>
    <w:p w:rsidR="005525F3" w:rsidRPr="009325D4" w:rsidRDefault="0082058A" w:rsidP="00F83058">
      <w:pPr>
        <w:pStyle w:val="JuPara"/>
        <w:ind w:right="-13"/>
        <w:rPr>
          <w:rStyle w:val="sb8d990e2"/>
        </w:rPr>
      </w:pPr>
      <w:r w:rsidRPr="00B248BA">
        <w:fldChar w:fldCharType="begin"/>
      </w:r>
      <w:r w:rsidR="00C04CCA" w:rsidRPr="00B248BA">
        <w:instrText xml:space="preserve"> SEQ level0 \*arabic </w:instrText>
      </w:r>
      <w:r w:rsidRPr="00B248BA">
        <w:fldChar w:fldCharType="separate"/>
      </w:r>
      <w:r w:rsidR="00517F95">
        <w:rPr>
          <w:noProof/>
        </w:rPr>
        <w:t>203</w:t>
      </w:r>
      <w:r w:rsidRPr="00B248BA">
        <w:rPr>
          <w:noProof/>
        </w:rPr>
        <w:fldChar w:fldCharType="end"/>
      </w:r>
      <w:bookmarkEnd w:id="139"/>
      <w:r w:rsidR="005525F3" w:rsidRPr="00B248BA">
        <w:t>.  </w:t>
      </w:r>
      <w:r w:rsidR="00F83058" w:rsidRPr="00B248BA">
        <w:t>For the above reasons, the Court finds that it has been</w:t>
      </w:r>
      <w:r w:rsidR="00F83058" w:rsidRPr="009325D4">
        <w:t xml:space="preserve"> convincingly established that at the time of the impugned police interviews there was an </w:t>
      </w:r>
      <w:r w:rsidR="00404BA5" w:rsidRPr="009325D4">
        <w:t xml:space="preserve">exceptionally serious and </w:t>
      </w:r>
      <w:r w:rsidR="00F83058" w:rsidRPr="009325D4">
        <w:t xml:space="preserve">imminent threat to public safety and that this threat provided compelling reasons which justified the </w:t>
      </w:r>
      <w:r w:rsidR="00D34B10" w:rsidRPr="009325D4">
        <w:t>temporary delay</w:t>
      </w:r>
      <w:r w:rsidR="00F83058" w:rsidRPr="009325D4">
        <w:t xml:space="preserve"> of </w:t>
      </w:r>
      <w:r w:rsidR="00D34B10" w:rsidRPr="009325D4">
        <w:t>all four applicants</w:t>
      </w:r>
      <w:r w:rsidR="005E7B7A">
        <w:t>’</w:t>
      </w:r>
      <w:r w:rsidR="00D34B10" w:rsidRPr="009325D4">
        <w:t xml:space="preserve"> </w:t>
      </w:r>
      <w:r w:rsidR="00F83058" w:rsidRPr="009325D4">
        <w:t>access to lawyers.</w:t>
      </w:r>
    </w:p>
    <w:p w:rsidR="00FF2F55" w:rsidRPr="009325D4" w:rsidRDefault="00202824" w:rsidP="00FC3A80">
      <w:pPr>
        <w:pStyle w:val="ECHRHeading4"/>
      </w:pPr>
      <w:r w:rsidRPr="009325D4">
        <w:t>(</w:t>
      </w:r>
      <w:r w:rsidR="006E22E0" w:rsidRPr="009325D4">
        <w:t>c</w:t>
      </w:r>
      <w:r w:rsidRPr="009325D4">
        <w:t>)</w:t>
      </w:r>
      <w:r w:rsidR="001928E7">
        <w:t>  </w:t>
      </w:r>
      <w:r w:rsidR="00FF2F55" w:rsidRPr="009325D4">
        <w:t xml:space="preserve">Were the </w:t>
      </w:r>
      <w:r w:rsidR="00FC3A80" w:rsidRPr="009325D4">
        <w:t>applicants</w:t>
      </w:r>
      <w:r w:rsidR="005E7B7A">
        <w:t>’</w:t>
      </w:r>
      <w:r w:rsidR="00FC3A80" w:rsidRPr="009325D4">
        <w:t xml:space="preserve"> </w:t>
      </w:r>
      <w:r w:rsidR="00B41F7B" w:rsidRPr="009325D4">
        <w:t xml:space="preserve">Article 6 </w:t>
      </w:r>
      <w:r w:rsidR="00FF2F55" w:rsidRPr="009325D4">
        <w:t xml:space="preserve">rights </w:t>
      </w:r>
      <w:r w:rsidR="009325D4" w:rsidRPr="009325D4">
        <w:t>unduly</w:t>
      </w:r>
      <w:r w:rsidR="00F90608" w:rsidRPr="009325D4">
        <w:t xml:space="preserve"> prejudiced</w:t>
      </w:r>
      <w:r w:rsidR="00A44BC4">
        <w:t xml:space="preserve"> by the admission of statements made to the police without the benefit of legal assistance</w:t>
      </w:r>
      <w:r w:rsidR="00F90608" w:rsidRPr="009325D4">
        <w:t>?</w:t>
      </w:r>
    </w:p>
    <w:p w:rsidR="005516DA" w:rsidRPr="00B248BA" w:rsidRDefault="00555E80" w:rsidP="009C06DB">
      <w:pPr>
        <w:pStyle w:val="JuParaLast"/>
      </w:pPr>
      <w:r>
        <w:fldChar w:fldCharType="begin"/>
      </w:r>
      <w:r>
        <w:instrText xml:space="preserve"> SEQ level0 \*arabic </w:instrText>
      </w:r>
      <w:r>
        <w:fldChar w:fldCharType="separate"/>
      </w:r>
      <w:r w:rsidR="00517F95">
        <w:rPr>
          <w:noProof/>
        </w:rPr>
        <w:t>204</w:t>
      </w:r>
      <w:r>
        <w:rPr>
          <w:noProof/>
        </w:rPr>
        <w:fldChar w:fldCharType="end"/>
      </w:r>
      <w:r w:rsidR="00404BA5" w:rsidRPr="00B248BA">
        <w:t>.  It remains to be examined whether</w:t>
      </w:r>
      <w:r w:rsidR="00C961D0" w:rsidRPr="00B248BA">
        <w:t>, even though the decision to delay the applicants</w:t>
      </w:r>
      <w:r w:rsidR="005E7B7A">
        <w:t>’</w:t>
      </w:r>
      <w:r w:rsidR="00C961D0" w:rsidRPr="00B248BA">
        <w:t xml:space="preserve"> access to legal advice was justified in the circumstances of the case, the </w:t>
      </w:r>
      <w:r w:rsidR="00EE1B93" w:rsidRPr="00B248BA">
        <w:t xml:space="preserve">subsequent </w:t>
      </w:r>
      <w:r w:rsidR="00C961D0" w:rsidRPr="00B248BA">
        <w:t xml:space="preserve">admission of statements that they made </w:t>
      </w:r>
      <w:r w:rsidR="00370807" w:rsidRPr="00B248BA">
        <w:t>without legal advice unduly prejudiced their</w:t>
      </w:r>
      <w:r w:rsidR="00AF3FCD">
        <w:t xml:space="preserve"> fair trial rights.</w:t>
      </w:r>
    </w:p>
    <w:p w:rsidR="00FC3A80" w:rsidRPr="009325D4" w:rsidRDefault="001928E7" w:rsidP="00FC3A80">
      <w:pPr>
        <w:pStyle w:val="ECHRHeading5"/>
      </w:pPr>
      <w:r>
        <w:t>(i)  </w:t>
      </w:r>
      <w:r w:rsidR="00FC3A80" w:rsidRPr="009325D4">
        <w:t>The first three applicants</w:t>
      </w:r>
    </w:p>
    <w:p w:rsidR="00AC09E0" w:rsidRPr="00047C68" w:rsidRDefault="001928E7" w:rsidP="00047C68">
      <w:pPr>
        <w:pStyle w:val="ECHRHeading6"/>
        <w:rPr>
          <w:b/>
        </w:rPr>
      </w:pPr>
      <w:r>
        <w:rPr>
          <w:b/>
        </w:rPr>
        <w:t>(α)  </w:t>
      </w:r>
      <w:r w:rsidR="0023416F" w:rsidRPr="00047C68">
        <w:rPr>
          <w:b/>
        </w:rPr>
        <w:t>The general legislative framework</w:t>
      </w:r>
    </w:p>
    <w:bookmarkStart w:id="140" w:name="firstthreeapplicantslawfulapplicationexc"/>
    <w:bookmarkStart w:id="141" w:name="firstthreeappsstart"/>
    <w:p w:rsidR="00E3205E" w:rsidRPr="00D563A5" w:rsidRDefault="0082058A" w:rsidP="00E3205E">
      <w:pPr>
        <w:pStyle w:val="JuPara"/>
        <w:rPr>
          <w:i/>
        </w:rPr>
      </w:pPr>
      <w:r>
        <w:fldChar w:fldCharType="begin"/>
      </w:r>
      <w:r w:rsidR="00092C3A">
        <w:instrText xml:space="preserve"> SEQ level0 \*arabic </w:instrText>
      </w:r>
      <w:r>
        <w:fldChar w:fldCharType="separate"/>
      </w:r>
      <w:r w:rsidR="00517F95">
        <w:rPr>
          <w:noProof/>
        </w:rPr>
        <w:t>205</w:t>
      </w:r>
      <w:r>
        <w:fldChar w:fldCharType="end"/>
      </w:r>
      <w:bookmarkEnd w:id="140"/>
      <w:bookmarkEnd w:id="141"/>
      <w:r w:rsidR="00092C3A">
        <w:t>.  </w:t>
      </w:r>
      <w:r w:rsidR="005D314B">
        <w:t xml:space="preserve">First, </w:t>
      </w:r>
      <w:r w:rsidR="00051BAF">
        <w:t xml:space="preserve">as noted above, </w:t>
      </w:r>
      <w:r w:rsidR="005D314B">
        <w:t>there was a detailed legislative framework setting out the general right to legal advice</w:t>
      </w:r>
      <w:r w:rsidR="0005455A">
        <w:t xml:space="preserve"> </w:t>
      </w:r>
      <w:r w:rsidR="005D314B">
        <w:t xml:space="preserve">and providing for limited exceptions </w:t>
      </w:r>
      <w:r w:rsidR="009D5DCC">
        <w:t xml:space="preserve">on a case-by-case basis </w:t>
      </w:r>
      <w:r w:rsidR="005D314B">
        <w:t>(</w:t>
      </w:r>
      <w:r w:rsidR="00D34B10">
        <w:t xml:space="preserve">see paragraphs </w:t>
      </w:r>
      <w:r>
        <w:fldChar w:fldCharType="begin"/>
      </w:r>
      <w:r w:rsidR="00D34B10">
        <w:instrText xml:space="preserve"> REF TA2000start \h </w:instrText>
      </w:r>
      <w:r>
        <w:fldChar w:fldCharType="separate"/>
      </w:r>
      <w:r w:rsidR="00517F95">
        <w:rPr>
          <w:noProof/>
        </w:rPr>
        <w:t>139</w:t>
      </w:r>
      <w:r>
        <w:fldChar w:fldCharType="end"/>
      </w:r>
      <w:r w:rsidR="00D34B10">
        <w:t>-</w:t>
      </w:r>
      <w:r>
        <w:fldChar w:fldCharType="begin"/>
      </w:r>
      <w:r w:rsidR="00D34B10">
        <w:instrText xml:space="preserve"> REF TA2000reasonsinform \h </w:instrText>
      </w:r>
      <w:r>
        <w:fldChar w:fldCharType="separate"/>
      </w:r>
      <w:r w:rsidR="00517F95">
        <w:rPr>
          <w:noProof/>
        </w:rPr>
        <w:t>143</w:t>
      </w:r>
      <w:r>
        <w:fldChar w:fldCharType="end"/>
      </w:r>
      <w:r w:rsidR="00D34B10">
        <w:t xml:space="preserve"> </w:t>
      </w:r>
      <w:r w:rsidR="00051BAF">
        <w:t xml:space="preserve">and </w:t>
      </w:r>
      <w:r>
        <w:fldChar w:fldCharType="begin"/>
      </w:r>
      <w:r w:rsidR="00051BAF">
        <w:instrText xml:space="preserve"> REF Llegalframework \h </w:instrText>
      </w:r>
      <w:r>
        <w:fldChar w:fldCharType="separate"/>
      </w:r>
      <w:r w:rsidR="00517F95">
        <w:rPr>
          <w:noProof/>
        </w:rPr>
        <w:t>199</w:t>
      </w:r>
      <w:r>
        <w:fldChar w:fldCharType="end"/>
      </w:r>
      <w:r w:rsidR="00051BAF">
        <w:t xml:space="preserve"> </w:t>
      </w:r>
      <w:r w:rsidR="00D34B10">
        <w:t>above</w:t>
      </w:r>
      <w:r w:rsidR="00092C3A">
        <w:t xml:space="preserve">). The </w:t>
      </w:r>
      <w:r w:rsidR="00E3205E">
        <w:t xml:space="preserve">grounds and procedure for applying the </w:t>
      </w:r>
      <w:r w:rsidR="005D314B">
        <w:t xml:space="preserve">exception to the </w:t>
      </w:r>
      <w:r w:rsidR="0005455A">
        <w:t>general right to legal advice</w:t>
      </w:r>
      <w:r w:rsidR="005D314B">
        <w:t xml:space="preserve"> </w:t>
      </w:r>
      <w:r w:rsidR="00E3205E">
        <w:t>were set out in detail</w:t>
      </w:r>
      <w:r w:rsidR="00092C3A">
        <w:t xml:space="preserve"> in </w:t>
      </w:r>
      <w:r w:rsidR="005D314B">
        <w:t>Schedule</w:t>
      </w:r>
      <w:r w:rsidR="00092C3A">
        <w:t xml:space="preserve"> </w:t>
      </w:r>
      <w:r w:rsidR="0005455A">
        <w:t xml:space="preserve">8 </w:t>
      </w:r>
      <w:r w:rsidR="00092C3A">
        <w:t xml:space="preserve">and </w:t>
      </w:r>
      <w:r w:rsidR="005D314B">
        <w:t xml:space="preserve">in </w:t>
      </w:r>
      <w:r w:rsidR="00092C3A">
        <w:t>Code C</w:t>
      </w:r>
      <w:r w:rsidR="009D5DCC">
        <w:t xml:space="preserve"> (see paragraph</w:t>
      </w:r>
      <w:r w:rsidR="00D34B10">
        <w:t xml:space="preserve">s </w:t>
      </w:r>
      <w:r>
        <w:fldChar w:fldCharType="begin"/>
      </w:r>
      <w:r w:rsidR="00D34B10">
        <w:instrText xml:space="preserve"> REF TA2000para8exception \h </w:instrText>
      </w:r>
      <w:r>
        <w:fldChar w:fldCharType="separate"/>
      </w:r>
      <w:r w:rsidR="00517F95">
        <w:rPr>
          <w:noProof/>
        </w:rPr>
        <w:t>142</w:t>
      </w:r>
      <w:r>
        <w:fldChar w:fldCharType="end"/>
      </w:r>
      <w:r w:rsidR="00D34B10">
        <w:t>,</w:t>
      </w:r>
      <w:r w:rsidR="00D0785E">
        <w:t xml:space="preserve"> </w:t>
      </w:r>
      <w:r>
        <w:fldChar w:fldCharType="begin"/>
      </w:r>
      <w:r w:rsidR="00D34B10">
        <w:instrText xml:space="preserve"> REF CodeCexception \h </w:instrText>
      </w:r>
      <w:r>
        <w:fldChar w:fldCharType="separate"/>
      </w:r>
      <w:r w:rsidR="00517F95">
        <w:rPr>
          <w:noProof/>
        </w:rPr>
        <w:t>147</w:t>
      </w:r>
      <w:r>
        <w:fldChar w:fldCharType="end"/>
      </w:r>
      <w:r w:rsidR="00D34B10">
        <w:t xml:space="preserve"> and </w:t>
      </w:r>
      <w:r>
        <w:fldChar w:fldCharType="begin"/>
      </w:r>
      <w:r w:rsidR="00D34B10">
        <w:instrText xml:space="preserve"> REF CodeCannexBtimelimit \h </w:instrText>
      </w:r>
      <w:r>
        <w:fldChar w:fldCharType="separate"/>
      </w:r>
      <w:r w:rsidR="00517F95">
        <w:rPr>
          <w:noProof/>
        </w:rPr>
        <w:t>151</w:t>
      </w:r>
      <w:r>
        <w:fldChar w:fldCharType="end"/>
      </w:r>
      <w:r w:rsidR="00D34B10">
        <w:t xml:space="preserve"> above</w:t>
      </w:r>
      <w:r w:rsidR="009D5DCC">
        <w:t>)</w:t>
      </w:r>
      <w:r w:rsidR="00092C3A">
        <w:t xml:space="preserve">. </w:t>
      </w:r>
      <w:r w:rsidR="00E3205E">
        <w:t xml:space="preserve">The </w:t>
      </w:r>
      <w:r w:rsidR="005D314B">
        <w:t xml:space="preserve">decision to delay access to legal </w:t>
      </w:r>
      <w:r w:rsidR="005D314B">
        <w:lastRenderedPageBreak/>
        <w:t>advice</w:t>
      </w:r>
      <w:r w:rsidR="00E3205E">
        <w:t xml:space="preserve"> required authorisation </w:t>
      </w:r>
      <w:r w:rsidR="00092C3A">
        <w:t xml:space="preserve">by an officer of superintendent rank or above and </w:t>
      </w:r>
      <w:r w:rsidR="0005455A">
        <w:t>was permitted only</w:t>
      </w:r>
      <w:r w:rsidR="00092C3A">
        <w:t xml:space="preserve"> if the conditions in paragraph 8 of Schedule 8 were fulfilled</w:t>
      </w:r>
      <w:r w:rsidR="00D0785E">
        <w:t xml:space="preserve"> (see paragraph </w:t>
      </w:r>
      <w:r>
        <w:fldChar w:fldCharType="begin"/>
      </w:r>
      <w:r w:rsidR="00D0785E">
        <w:instrText xml:space="preserve"> REF TA2000para8exception \h </w:instrText>
      </w:r>
      <w:r>
        <w:fldChar w:fldCharType="separate"/>
      </w:r>
      <w:r w:rsidR="00517F95">
        <w:rPr>
          <w:noProof/>
        </w:rPr>
        <w:t>142</w:t>
      </w:r>
      <w:r>
        <w:fldChar w:fldCharType="end"/>
      </w:r>
      <w:r w:rsidR="00D0785E">
        <w:t xml:space="preserve"> above)</w:t>
      </w:r>
      <w:r w:rsidR="00092C3A">
        <w:t xml:space="preserve">. </w:t>
      </w:r>
      <w:r w:rsidR="00E3205E">
        <w:t>T</w:t>
      </w:r>
      <w:r w:rsidR="00092C3A">
        <w:t>hose condit</w:t>
      </w:r>
      <w:r w:rsidR="00E3205E">
        <w:t>ions were strict and exhaustive</w:t>
      </w:r>
      <w:r w:rsidR="005D314B">
        <w:t xml:space="preserve">. Further, Schedule 8 stipulated that </w:t>
      </w:r>
      <w:r w:rsidR="00E3205E">
        <w:t xml:space="preserve">the reasons </w:t>
      </w:r>
      <w:r w:rsidR="005D314B">
        <w:t>for the decision were to be recorded</w:t>
      </w:r>
      <w:r w:rsidR="00E3205E">
        <w:t xml:space="preserve"> and</w:t>
      </w:r>
      <w:r w:rsidR="005D314B">
        <w:t xml:space="preserve"> that</w:t>
      </w:r>
      <w:r w:rsidR="00E3205E">
        <w:t xml:space="preserve"> the detainee was to be</w:t>
      </w:r>
      <w:r w:rsidR="005D314B">
        <w:t xml:space="preserve"> informed of the</w:t>
      </w:r>
      <w:r w:rsidR="009D5DCC">
        <w:t>m</w:t>
      </w:r>
      <w:r w:rsidR="005D314B">
        <w:t>. No restriction on access to legal advice</w:t>
      </w:r>
      <w:r w:rsidR="00E3205E">
        <w:t xml:space="preserve"> could exceed forty-eight hours (</w:t>
      </w:r>
      <w:r w:rsidR="00D0785E">
        <w:t xml:space="preserve">see </w:t>
      </w:r>
      <w:r w:rsidR="00E3205E">
        <w:t xml:space="preserve">paragraph </w:t>
      </w:r>
      <w:r>
        <w:fldChar w:fldCharType="begin"/>
      </w:r>
      <w:r w:rsidR="00E3205E">
        <w:instrText xml:space="preserve"> REF partbannexbfortyeighthours \h </w:instrText>
      </w:r>
      <w:r>
        <w:fldChar w:fldCharType="separate"/>
      </w:r>
      <w:r w:rsidR="00517F95">
        <w:rPr>
          <w:noProof/>
        </w:rPr>
        <w:t>151</w:t>
      </w:r>
      <w:r>
        <w:fldChar w:fldCharType="end"/>
      </w:r>
      <w:r w:rsidR="00E3205E">
        <w:t xml:space="preserve"> above).</w:t>
      </w:r>
      <w:r w:rsidR="004D7537" w:rsidRPr="004D7537">
        <w:t xml:space="preserve"> </w:t>
      </w:r>
      <w:r w:rsidR="004D7537">
        <w:t xml:space="preserve">Paragraph 6.7 of Code C </w:t>
      </w:r>
      <w:r w:rsidR="005D314B">
        <w:t xml:space="preserve">provided </w:t>
      </w:r>
      <w:r w:rsidR="004D7537">
        <w:t xml:space="preserve">that once sufficient information had been obtained to avert the risk of, </w:t>
      </w:r>
      <w:r w:rsidR="004D7537" w:rsidRPr="0096529E">
        <w:rPr>
          <w:i/>
        </w:rPr>
        <w:t>inter alia</w:t>
      </w:r>
      <w:r w:rsidR="004D7537">
        <w:t xml:space="preserve">, any of the dangers set out in paragraph 8 of Schedule 8, the questioning </w:t>
      </w:r>
      <w:r w:rsidR="009D5DCC">
        <w:t>had to</w:t>
      </w:r>
      <w:r w:rsidR="004D7537">
        <w:t xml:space="preserve"> cease until the detainee had obtained legal advice</w:t>
      </w:r>
      <w:r w:rsidR="0005455A">
        <w:t xml:space="preserve"> (see paragraph </w:t>
      </w:r>
      <w:r>
        <w:fldChar w:fldCharType="begin"/>
      </w:r>
      <w:r w:rsidR="00D0785E">
        <w:instrText xml:space="preserve"> REF CodeCceasequestions \h </w:instrText>
      </w:r>
      <w:r>
        <w:fldChar w:fldCharType="separate"/>
      </w:r>
      <w:r w:rsidR="00517F95">
        <w:rPr>
          <w:noProof/>
        </w:rPr>
        <w:t>149</w:t>
      </w:r>
      <w:r>
        <w:fldChar w:fldCharType="end"/>
      </w:r>
      <w:r w:rsidR="00D0785E">
        <w:t xml:space="preserve"> </w:t>
      </w:r>
      <w:r w:rsidR="0005455A">
        <w:t>above)</w:t>
      </w:r>
      <w:r w:rsidR="004D7537">
        <w:t xml:space="preserve">. </w:t>
      </w:r>
      <w:r w:rsidR="00D0785E">
        <w:t>The provisions of the Terrorism Act 2000 and Code C</w:t>
      </w:r>
      <w:r w:rsidR="004D7537">
        <w:t xml:space="preserve"> struck an appropriate balance between the importance of the right to legal advice and the </w:t>
      </w:r>
      <w:r w:rsidR="00D0785E">
        <w:t>pressing need in exceptional cases to enable</w:t>
      </w:r>
      <w:r w:rsidR="004D7537">
        <w:t xml:space="preserve"> the police to obtain information necessary to protect the public.</w:t>
      </w:r>
    </w:p>
    <w:bookmarkStart w:id="142" w:name="LappsnocontestSI"/>
    <w:p w:rsidR="00D95906" w:rsidRDefault="00EA0EFA" w:rsidP="00D95906">
      <w:pPr>
        <w:pStyle w:val="JuPara"/>
      </w:pPr>
      <w:r>
        <w:fldChar w:fldCharType="begin"/>
      </w:r>
      <w:r>
        <w:instrText xml:space="preserve"> SEQ level0 \*arabic </w:instrText>
      </w:r>
      <w:r>
        <w:fldChar w:fldCharType="separate"/>
      </w:r>
      <w:r w:rsidR="00517F95">
        <w:rPr>
          <w:noProof/>
        </w:rPr>
        <w:t>206</w:t>
      </w:r>
      <w:r>
        <w:rPr>
          <w:noProof/>
        </w:rPr>
        <w:fldChar w:fldCharType="end"/>
      </w:r>
      <w:bookmarkEnd w:id="142"/>
      <w:r w:rsidR="00D95906">
        <w:t>.  The legal framework was duly applied in the applicants</w:t>
      </w:r>
      <w:r w:rsidR="005E7B7A">
        <w:t>’</w:t>
      </w:r>
      <w:r w:rsidR="00D95906">
        <w:t xml:space="preserve"> cases. The restriction on access to legal advice was authorised by a superintendent in each case and the reasons, which fell squarely within the scope of the statutory exception </w:t>
      </w:r>
      <w:r w:rsidR="009D5DCC">
        <w:t>allowing legal advice to be delayed</w:t>
      </w:r>
      <w:r w:rsidR="00D95906">
        <w:t xml:space="preserve">, were recorded </w:t>
      </w:r>
      <w:r w:rsidR="00D0785E">
        <w:t xml:space="preserve">(see paragraphs </w:t>
      </w:r>
      <w:r w:rsidR="0082058A">
        <w:fldChar w:fldCharType="begin"/>
      </w:r>
      <w:r w:rsidR="00D0785E">
        <w:instrText xml:space="preserve"> REF OmarreasonsforSIfinal \h </w:instrText>
      </w:r>
      <w:r w:rsidR="0082058A">
        <w:fldChar w:fldCharType="separate"/>
      </w:r>
      <w:r w:rsidR="00517F95">
        <w:rPr>
          <w:noProof/>
        </w:rPr>
        <w:t>21</w:t>
      </w:r>
      <w:r w:rsidR="0082058A">
        <w:fldChar w:fldCharType="end"/>
      </w:r>
      <w:r w:rsidR="00D0785E">
        <w:t xml:space="preserve">, </w:t>
      </w:r>
      <w:r w:rsidR="0082058A">
        <w:fldChar w:fldCharType="begin"/>
      </w:r>
      <w:r w:rsidR="00D0785E">
        <w:instrText xml:space="preserve"> REF IbrahimreasonsforSI \h </w:instrText>
      </w:r>
      <w:r w:rsidR="0082058A">
        <w:fldChar w:fldCharType="separate"/>
      </w:r>
      <w:r w:rsidR="00517F95">
        <w:rPr>
          <w:noProof/>
        </w:rPr>
        <w:t>33</w:t>
      </w:r>
      <w:r w:rsidR="0082058A">
        <w:fldChar w:fldCharType="end"/>
      </w:r>
      <w:r w:rsidR="00D0785E">
        <w:t xml:space="preserve"> and </w:t>
      </w:r>
      <w:r w:rsidR="0082058A">
        <w:fldChar w:fldCharType="begin"/>
      </w:r>
      <w:r w:rsidR="00D0785E">
        <w:instrText xml:space="preserve"> REF MohammedreasonsforSI \h </w:instrText>
      </w:r>
      <w:r w:rsidR="0082058A">
        <w:fldChar w:fldCharType="separate"/>
      </w:r>
      <w:r w:rsidR="00517F95">
        <w:rPr>
          <w:noProof/>
        </w:rPr>
        <w:t>42</w:t>
      </w:r>
      <w:r w:rsidR="0082058A">
        <w:fldChar w:fldCharType="end"/>
      </w:r>
      <w:r w:rsidR="00D0785E">
        <w:t xml:space="preserve"> above)</w:t>
      </w:r>
      <w:r w:rsidR="00D95906">
        <w:t xml:space="preserve">. The </w:t>
      </w:r>
      <w:r w:rsidR="00D0785E">
        <w:t>forty-eight hour</w:t>
      </w:r>
      <w:r w:rsidR="00D95906">
        <w:t xml:space="preserve"> time-limit for delaying legal advice was also respected, since the </w:t>
      </w:r>
      <w:r w:rsidR="00E3205E">
        <w:t>applicants</w:t>
      </w:r>
      <w:r w:rsidR="005E7B7A">
        <w:t>’</w:t>
      </w:r>
      <w:r w:rsidR="00D0785E">
        <w:t xml:space="preserve"> access to legal advice was delayed for between four and eight hours only</w:t>
      </w:r>
      <w:r w:rsidR="00E3205E">
        <w:t xml:space="preserve"> (see paragraphs </w:t>
      </w:r>
      <w:r w:rsidR="0082058A">
        <w:fldChar w:fldCharType="begin"/>
      </w:r>
      <w:r w:rsidR="00E3205E">
        <w:instrText xml:space="preserve"> REF FulfordrulingOmareighthours \h </w:instrText>
      </w:r>
      <w:r w:rsidR="0082058A">
        <w:fldChar w:fldCharType="separate"/>
      </w:r>
      <w:r w:rsidR="00517F95">
        <w:rPr>
          <w:noProof/>
        </w:rPr>
        <w:t>64</w:t>
      </w:r>
      <w:r w:rsidR="0082058A">
        <w:fldChar w:fldCharType="end"/>
      </w:r>
      <w:r w:rsidR="00E3205E">
        <w:t xml:space="preserve">, </w:t>
      </w:r>
      <w:r w:rsidR="0082058A">
        <w:fldChar w:fldCharType="begin"/>
      </w:r>
      <w:r w:rsidR="00E3205E">
        <w:instrText xml:space="preserve"> REF FulfordrulingIbrahimsevenandhalfhours \h </w:instrText>
      </w:r>
      <w:r w:rsidR="0082058A">
        <w:fldChar w:fldCharType="separate"/>
      </w:r>
      <w:r w:rsidR="00517F95">
        <w:rPr>
          <w:noProof/>
        </w:rPr>
        <w:t>67</w:t>
      </w:r>
      <w:r w:rsidR="0082058A">
        <w:fldChar w:fldCharType="end"/>
      </w:r>
      <w:r w:rsidR="00E3205E">
        <w:t xml:space="preserve"> and </w:t>
      </w:r>
      <w:r w:rsidR="0082058A">
        <w:fldChar w:fldCharType="begin"/>
      </w:r>
      <w:r w:rsidR="00E3205E">
        <w:instrText xml:space="preserve"> REF FulfordrulingMohammed \h </w:instrText>
      </w:r>
      <w:r w:rsidR="0082058A">
        <w:fldChar w:fldCharType="separate"/>
      </w:r>
      <w:r w:rsidR="00517F95">
        <w:rPr>
          <w:noProof/>
        </w:rPr>
        <w:t>68</w:t>
      </w:r>
      <w:r w:rsidR="0082058A">
        <w:fldChar w:fldCharType="end"/>
      </w:r>
      <w:r w:rsidR="00E3205E">
        <w:t xml:space="preserve"> above).</w:t>
      </w:r>
      <w:r w:rsidR="00D95906">
        <w:t xml:space="preserve"> The purpose of the safety interviews –</w:t>
      </w:r>
      <w:r w:rsidR="00382EC4">
        <w:t xml:space="preserve"> </w:t>
      </w:r>
      <w:r w:rsidR="00D95906">
        <w:t xml:space="preserve">to obtain information necessary to protect the public – was </w:t>
      </w:r>
      <w:r w:rsidR="00D0785E">
        <w:t xml:space="preserve">strictly </w:t>
      </w:r>
      <w:r w:rsidR="00D95906">
        <w:t>adhered to in the applicants</w:t>
      </w:r>
      <w:r w:rsidR="005E7B7A">
        <w:t>’</w:t>
      </w:r>
      <w:r w:rsidR="00D95906">
        <w:t xml:space="preserve"> cases. As the trial judge noted, in questioning Mr Omar the police officers concentrated throughout on issues that might have revealed information relevant to assisting them to locate people or items that could pose a danger to the public. There had also been no suggestion </w:t>
      </w:r>
      <w:r w:rsidR="009D5DCC">
        <w:t xml:space="preserve">at trial </w:t>
      </w:r>
      <w:r w:rsidR="00D95906">
        <w:t xml:space="preserve">by those acting for Mr Omar that the police had exceeded the requirements of what was necessary and that the lines of questioning </w:t>
      </w:r>
      <w:r w:rsidR="00D0785E">
        <w:t>had</w:t>
      </w:r>
      <w:r w:rsidR="00D95906">
        <w:t xml:space="preserve"> not</w:t>
      </w:r>
      <w:r w:rsidR="00D0785E">
        <w:t xml:space="preserve"> been</w:t>
      </w:r>
      <w:r w:rsidR="00D95906">
        <w:t xml:space="preserve"> relevant to the public safety issues (see paragraph </w:t>
      </w:r>
      <w:r w:rsidR="0082058A">
        <w:fldChar w:fldCharType="begin"/>
      </w:r>
      <w:r w:rsidR="00D95906">
        <w:instrText xml:space="preserve"> REF FulfordrulingOmarquestioning \h </w:instrText>
      </w:r>
      <w:r w:rsidR="0082058A">
        <w:fldChar w:fldCharType="separate"/>
      </w:r>
      <w:r w:rsidR="00517F95">
        <w:rPr>
          <w:noProof/>
        </w:rPr>
        <w:t>63</w:t>
      </w:r>
      <w:r w:rsidR="0082058A">
        <w:fldChar w:fldCharType="end"/>
      </w:r>
      <w:r w:rsidR="00D95906">
        <w:t xml:space="preserve"> above). In respect of Mr Ibrahim, the judge considered that the questions put did not go beyond legitimate questioning for safety purposes (paragraph </w:t>
      </w:r>
      <w:r w:rsidR="0082058A">
        <w:fldChar w:fldCharType="begin"/>
      </w:r>
      <w:r w:rsidR="00D95906">
        <w:instrText xml:space="preserve"> REF FulfordrulingIbrahimsevenandhalfhours \h </w:instrText>
      </w:r>
      <w:r w:rsidR="0082058A">
        <w:fldChar w:fldCharType="separate"/>
      </w:r>
      <w:r w:rsidR="00517F95">
        <w:rPr>
          <w:noProof/>
        </w:rPr>
        <w:t>67</w:t>
      </w:r>
      <w:r w:rsidR="0082058A">
        <w:fldChar w:fldCharType="end"/>
      </w:r>
      <w:r w:rsidR="00D95906">
        <w:t xml:space="preserve"> above) and as regards Mr Mohammed, he found that the questioning did not exceed the legitimate bounds or purpose of a safety interview and was focused and appropriate (paragraph </w:t>
      </w:r>
      <w:r w:rsidR="0082058A">
        <w:fldChar w:fldCharType="begin"/>
      </w:r>
      <w:r w:rsidR="00D95906">
        <w:instrText xml:space="preserve"> REF FulfordrulingMohammed \h </w:instrText>
      </w:r>
      <w:r w:rsidR="0082058A">
        <w:fldChar w:fldCharType="separate"/>
      </w:r>
      <w:r w:rsidR="00517F95">
        <w:rPr>
          <w:noProof/>
        </w:rPr>
        <w:t>68</w:t>
      </w:r>
      <w:r w:rsidR="0082058A">
        <w:fldChar w:fldCharType="end"/>
      </w:r>
      <w:r w:rsidR="00D95906">
        <w:t xml:space="preserve"> above). None of these findings </w:t>
      </w:r>
      <w:r w:rsidR="007A3CA7">
        <w:t>is</w:t>
      </w:r>
      <w:r w:rsidR="00D95906">
        <w:t xml:space="preserve"> disputed before this Court.</w:t>
      </w:r>
    </w:p>
    <w:p w:rsidR="00AC09E0" w:rsidRPr="00047C68" w:rsidRDefault="0023416F" w:rsidP="00047C68">
      <w:pPr>
        <w:pStyle w:val="ECHRHeading6"/>
        <w:rPr>
          <w:b/>
        </w:rPr>
      </w:pPr>
      <w:r w:rsidRPr="00047C68">
        <w:rPr>
          <w:b/>
        </w:rPr>
        <w:t>(β)</w:t>
      </w:r>
      <w:r w:rsidR="001928E7">
        <w:rPr>
          <w:b/>
        </w:rPr>
        <w:t>  </w:t>
      </w:r>
      <w:r w:rsidRPr="00047C68">
        <w:rPr>
          <w:b/>
        </w:rPr>
        <w:t>The q</w:t>
      </w:r>
      <w:r w:rsidR="00AC09E0" w:rsidRPr="00047C68">
        <w:rPr>
          <w:b/>
        </w:rPr>
        <w:t xml:space="preserve">uality of </w:t>
      </w:r>
      <w:r w:rsidRPr="00047C68">
        <w:rPr>
          <w:b/>
        </w:rPr>
        <w:t xml:space="preserve">the </w:t>
      </w:r>
      <w:r w:rsidR="00AC09E0" w:rsidRPr="00047C68">
        <w:rPr>
          <w:b/>
        </w:rPr>
        <w:t xml:space="preserve">evidence and </w:t>
      </w:r>
      <w:r w:rsidRPr="00047C68">
        <w:rPr>
          <w:b/>
        </w:rPr>
        <w:t xml:space="preserve">the </w:t>
      </w:r>
      <w:r w:rsidR="00AC09E0" w:rsidRPr="00047C68">
        <w:rPr>
          <w:b/>
        </w:rPr>
        <w:t>circumstances in which it was obtained</w:t>
      </w:r>
    </w:p>
    <w:p w:rsidR="00AC09E0" w:rsidRPr="00B248BA" w:rsidRDefault="00047C68" w:rsidP="00AC09E0">
      <w:pPr>
        <w:pStyle w:val="JuPara"/>
        <w:rPr>
          <w:rStyle w:val="sb8d990e2"/>
        </w:rPr>
      </w:pPr>
      <w:r w:rsidRPr="00B248BA">
        <w:rPr>
          <w:rStyle w:val="sb8d990e2"/>
        </w:rPr>
        <w:fldChar w:fldCharType="begin"/>
      </w:r>
      <w:r w:rsidRPr="00B248BA">
        <w:rPr>
          <w:rStyle w:val="sb8d990e2"/>
        </w:rPr>
        <w:instrText xml:space="preserve"> SEQ level0 \*arabic </w:instrText>
      </w:r>
      <w:r w:rsidRPr="00B248BA">
        <w:rPr>
          <w:rStyle w:val="sb8d990e2"/>
        </w:rPr>
        <w:fldChar w:fldCharType="separate"/>
      </w:r>
      <w:r w:rsidR="00517F95">
        <w:rPr>
          <w:rStyle w:val="sb8d990e2"/>
          <w:noProof/>
        </w:rPr>
        <w:t>207</w:t>
      </w:r>
      <w:r w:rsidRPr="00B248BA">
        <w:rPr>
          <w:rStyle w:val="sb8d990e2"/>
        </w:rPr>
        <w:fldChar w:fldCharType="end"/>
      </w:r>
      <w:r w:rsidRPr="00B248BA">
        <w:rPr>
          <w:rStyle w:val="sb8d990e2"/>
        </w:rPr>
        <w:t>.  </w:t>
      </w:r>
      <w:r w:rsidR="0023416F" w:rsidRPr="00B248BA">
        <w:rPr>
          <w:rStyle w:val="sb8d990e2"/>
        </w:rPr>
        <w:t xml:space="preserve">The </w:t>
      </w:r>
      <w:r w:rsidR="00B555B0" w:rsidRPr="00B248BA">
        <w:rPr>
          <w:rStyle w:val="sb8d990e2"/>
        </w:rPr>
        <w:t>applicants did not challenge the trial judge</w:t>
      </w:r>
      <w:r w:rsidR="005E7B7A">
        <w:rPr>
          <w:rStyle w:val="sb8d990e2"/>
        </w:rPr>
        <w:t>’</w:t>
      </w:r>
      <w:r w:rsidR="00B555B0" w:rsidRPr="00B248BA">
        <w:rPr>
          <w:rStyle w:val="sb8d990e2"/>
        </w:rPr>
        <w:t xml:space="preserve">s findings in respect of the pressing nature of the police inquiry or the strain on resources at the police station (see paragraph </w:t>
      </w:r>
      <w:r w:rsidRPr="00B248BA">
        <w:rPr>
          <w:rStyle w:val="sb8d990e2"/>
        </w:rPr>
        <w:fldChar w:fldCharType="begin"/>
      </w:r>
      <w:r w:rsidRPr="00B248BA">
        <w:rPr>
          <w:rStyle w:val="sb8d990e2"/>
        </w:rPr>
        <w:instrText xml:space="preserve"> REF Appsubsintro \h </w:instrText>
      </w:r>
      <w:r w:rsidR="00B248BA" w:rsidRPr="00B248BA">
        <w:rPr>
          <w:rStyle w:val="sb8d990e2"/>
        </w:rPr>
        <w:instrText xml:space="preserve"> \* MERGEFORMAT </w:instrText>
      </w:r>
      <w:r w:rsidRPr="00B248BA">
        <w:rPr>
          <w:rStyle w:val="sb8d990e2"/>
        </w:rPr>
      </w:r>
      <w:r w:rsidRPr="00B248BA">
        <w:rPr>
          <w:rStyle w:val="sb8d990e2"/>
        </w:rPr>
        <w:fldChar w:fldCharType="separate"/>
      </w:r>
      <w:r w:rsidR="00517F95">
        <w:rPr>
          <w:noProof/>
        </w:rPr>
        <w:t>168</w:t>
      </w:r>
      <w:r w:rsidRPr="00B248BA">
        <w:rPr>
          <w:rStyle w:val="sb8d990e2"/>
        </w:rPr>
        <w:fldChar w:fldCharType="end"/>
      </w:r>
      <w:r w:rsidRPr="00B248BA">
        <w:rPr>
          <w:rStyle w:val="sb8d990e2"/>
        </w:rPr>
        <w:t xml:space="preserve"> </w:t>
      </w:r>
      <w:r w:rsidR="00B555B0" w:rsidRPr="00B248BA">
        <w:rPr>
          <w:rStyle w:val="sb8d990e2"/>
        </w:rPr>
        <w:t xml:space="preserve">above). They did not allege any </w:t>
      </w:r>
      <w:r w:rsidR="003D1B82" w:rsidRPr="00B248BA">
        <w:rPr>
          <w:rStyle w:val="sb8d990e2"/>
        </w:rPr>
        <w:t xml:space="preserve">coercion, compulsion or other improper conduct </w:t>
      </w:r>
      <w:r w:rsidR="00B555B0" w:rsidRPr="00B248BA">
        <w:rPr>
          <w:rStyle w:val="sb8d990e2"/>
        </w:rPr>
        <w:t xml:space="preserve">which had pressured them into </w:t>
      </w:r>
      <w:r w:rsidRPr="00B248BA">
        <w:rPr>
          <w:rStyle w:val="sb8d990e2"/>
        </w:rPr>
        <w:t>denying any</w:t>
      </w:r>
      <w:r w:rsidR="00B555B0" w:rsidRPr="00B248BA">
        <w:rPr>
          <w:rStyle w:val="sb8d990e2"/>
        </w:rPr>
        <w:t xml:space="preserve"> involvement in the events of 21 July 2005. </w:t>
      </w:r>
      <w:r w:rsidRPr="00B248BA">
        <w:rPr>
          <w:rStyle w:val="sb8d990e2"/>
        </w:rPr>
        <w:t xml:space="preserve">As noted above, </w:t>
      </w:r>
      <w:r w:rsidRPr="00B248BA">
        <w:rPr>
          <w:rStyle w:val="sb8d990e2"/>
        </w:rPr>
        <w:lastRenderedPageBreak/>
        <w:t xml:space="preserve">they did not suggest that their questioning went beyond what was envisaged and permissible in the context of a safety interview (see paragraph </w:t>
      </w:r>
      <w:r w:rsidRPr="00B248BA">
        <w:rPr>
          <w:rStyle w:val="sb8d990e2"/>
        </w:rPr>
        <w:fldChar w:fldCharType="begin"/>
      </w:r>
      <w:r w:rsidRPr="00B248BA">
        <w:rPr>
          <w:rStyle w:val="sb8d990e2"/>
        </w:rPr>
        <w:instrText xml:space="preserve"> REF LappsnocontestSI \h </w:instrText>
      </w:r>
      <w:r w:rsidR="00B248BA" w:rsidRPr="00B248BA">
        <w:rPr>
          <w:rStyle w:val="sb8d990e2"/>
        </w:rPr>
        <w:instrText xml:space="preserve"> \* MERGEFORMAT </w:instrText>
      </w:r>
      <w:r w:rsidRPr="00B248BA">
        <w:rPr>
          <w:rStyle w:val="sb8d990e2"/>
        </w:rPr>
      </w:r>
      <w:r w:rsidRPr="00B248BA">
        <w:rPr>
          <w:rStyle w:val="sb8d990e2"/>
        </w:rPr>
        <w:fldChar w:fldCharType="separate"/>
      </w:r>
      <w:r w:rsidR="00517F95">
        <w:rPr>
          <w:noProof/>
        </w:rPr>
        <w:t>206</w:t>
      </w:r>
      <w:r w:rsidRPr="00B248BA">
        <w:rPr>
          <w:rStyle w:val="sb8d990e2"/>
        </w:rPr>
        <w:fldChar w:fldCharType="end"/>
      </w:r>
      <w:r w:rsidRPr="00B248BA">
        <w:rPr>
          <w:rStyle w:val="sb8d990e2"/>
        </w:rPr>
        <w:t xml:space="preserve"> above).</w:t>
      </w:r>
    </w:p>
    <w:p w:rsidR="00AC09E0" w:rsidRDefault="00555E80" w:rsidP="00AC09E0">
      <w:pPr>
        <w:pStyle w:val="JuPara"/>
      </w:pPr>
      <w:r>
        <w:fldChar w:fldCharType="begin"/>
      </w:r>
      <w:r>
        <w:instrText xml:space="preserve"> SEQ level0 \*arabic </w:instrText>
      </w:r>
      <w:r>
        <w:fldChar w:fldCharType="separate"/>
      </w:r>
      <w:r w:rsidR="00517F95">
        <w:rPr>
          <w:noProof/>
        </w:rPr>
        <w:t>208</w:t>
      </w:r>
      <w:r>
        <w:rPr>
          <w:noProof/>
        </w:rPr>
        <w:fldChar w:fldCharType="end"/>
      </w:r>
      <w:r w:rsidR="00AC09E0" w:rsidRPr="00B248BA">
        <w:t>.  It is true that on some occasions prior to questioning instead of the old-style cautions, new-style cautions were wrongly</w:t>
      </w:r>
      <w:r w:rsidR="00AC09E0">
        <w:t xml:space="preserve"> administered. However, </w:t>
      </w:r>
      <w:r w:rsidR="00B555B0">
        <w:t xml:space="preserve">the applicants accept that the erroneous caution was given in error and that there was no malice on the part of the police (see paragraph </w:t>
      </w:r>
      <w:r w:rsidR="00047C68">
        <w:fldChar w:fldCharType="begin"/>
      </w:r>
      <w:r w:rsidR="00047C68">
        <w:instrText xml:space="preserve"> REF Appsubsintro \h </w:instrText>
      </w:r>
      <w:r w:rsidR="00047C68">
        <w:fldChar w:fldCharType="separate"/>
      </w:r>
      <w:r w:rsidR="00517F95">
        <w:rPr>
          <w:noProof/>
        </w:rPr>
        <w:t>168</w:t>
      </w:r>
      <w:r w:rsidR="00047C68">
        <w:fldChar w:fldCharType="end"/>
      </w:r>
      <w:r w:rsidR="00047C68">
        <w:t xml:space="preserve"> </w:t>
      </w:r>
      <w:r w:rsidR="00B555B0">
        <w:t>above). I</w:t>
      </w:r>
      <w:r w:rsidR="00AC09E0">
        <w:t>t is</w:t>
      </w:r>
      <w:r w:rsidR="00B555B0">
        <w:t xml:space="preserve"> furthermore</w:t>
      </w:r>
      <w:r w:rsidR="00AC09E0">
        <w:t xml:space="preserve"> unconvincing to suggest that, had the right words been used, the applicants would have acted differently and, instead of lying to the police, would have set out the hoax defence that they were later to deploy at trial. As the trial judge observed, the defence ultimately relied on did not require any detailed understanding of the criminal law and it could have been summed up by the single word “hoax” (see paragraph </w:t>
      </w:r>
      <w:r w:rsidR="0082058A">
        <w:fldChar w:fldCharType="begin"/>
      </w:r>
      <w:r w:rsidR="00AC09E0">
        <w:instrText xml:space="preserve"> REF Fulfordrulingsinglewordhoax \h </w:instrText>
      </w:r>
      <w:r w:rsidR="0082058A">
        <w:fldChar w:fldCharType="separate"/>
      </w:r>
      <w:r w:rsidR="00517F95">
        <w:rPr>
          <w:noProof/>
        </w:rPr>
        <w:t>60</w:t>
      </w:r>
      <w:r w:rsidR="0082058A">
        <w:fldChar w:fldCharType="end"/>
      </w:r>
      <w:r w:rsidR="00AC09E0">
        <w:t xml:space="preserve"> above). Any defendant who genuinely believed that his whole enterprise had been a hoax (and thus that there was no real threat to the public safety) would not have needed to ponder the difference between the old and new style caution before telling the police this. Further, both the old and the new-style caution made it clear that anything said could be used in court. The applicants had therefore been warned, in the starkest manner, that any lies told in the safety interviews could be in</w:t>
      </w:r>
      <w:r w:rsidR="00AF3FCD">
        <w:t>troduced as evidence at trial.</w:t>
      </w:r>
    </w:p>
    <w:p w:rsidR="00F3192B" w:rsidRPr="00047C68" w:rsidRDefault="00B555B0" w:rsidP="00047C68">
      <w:pPr>
        <w:pStyle w:val="ECHRHeading6"/>
        <w:rPr>
          <w:b/>
        </w:rPr>
      </w:pPr>
      <w:r w:rsidRPr="00047C68">
        <w:rPr>
          <w:b/>
        </w:rPr>
        <w:t>(γ)</w:t>
      </w:r>
      <w:r w:rsidR="001928E7">
        <w:rPr>
          <w:b/>
        </w:rPr>
        <w:t>  </w:t>
      </w:r>
      <w:r w:rsidR="008E4413">
        <w:rPr>
          <w:b/>
        </w:rPr>
        <w:t>The procedural safeguards at trial, and in particular the</w:t>
      </w:r>
      <w:r w:rsidR="00F3192B" w:rsidRPr="00047C68">
        <w:rPr>
          <w:b/>
        </w:rPr>
        <w:t xml:space="preserve"> possibility to challenge the disputed eviden</w:t>
      </w:r>
      <w:r w:rsidR="00047C68">
        <w:rPr>
          <w:b/>
        </w:rPr>
        <w:t>ce</w:t>
      </w:r>
    </w:p>
    <w:p w:rsidR="00F3192B" w:rsidRDefault="00555E80" w:rsidP="00F3192B">
      <w:pPr>
        <w:pStyle w:val="JuPara"/>
      </w:pPr>
      <w:r>
        <w:fldChar w:fldCharType="begin"/>
      </w:r>
      <w:r>
        <w:instrText xml:space="preserve"> SEQ level0 \*arab</w:instrText>
      </w:r>
      <w:r>
        <w:instrText xml:space="preserve">ic </w:instrText>
      </w:r>
      <w:r>
        <w:fldChar w:fldCharType="separate"/>
      </w:r>
      <w:r w:rsidR="00517F95">
        <w:rPr>
          <w:noProof/>
        </w:rPr>
        <w:t>209</w:t>
      </w:r>
      <w:r>
        <w:rPr>
          <w:noProof/>
        </w:rPr>
        <w:fldChar w:fldCharType="end"/>
      </w:r>
      <w:r w:rsidR="00F3192B">
        <w:t>.  It is noteworthy that the applicants were able to, and did, challenge the admission of the safety interview statements. The judge</w:t>
      </w:r>
      <w:r w:rsidR="005E7B7A">
        <w:t>’</w:t>
      </w:r>
      <w:r w:rsidR="00F3192B">
        <w:t xml:space="preserve">s ruling on the admissibility of the statements was preceded by a </w:t>
      </w:r>
      <w:r w:rsidR="00F3192B" w:rsidRPr="0096529E">
        <w:rPr>
          <w:i/>
        </w:rPr>
        <w:t>voir dire</w:t>
      </w:r>
      <w:r w:rsidR="00F8030D">
        <w:t xml:space="preserve"> (see paragraph </w:t>
      </w:r>
      <w:r w:rsidR="00F3192B">
        <w:fldChar w:fldCharType="begin"/>
      </w:r>
      <w:r w:rsidR="00F3192B">
        <w:instrText xml:space="preserve"> REF F52voirdire \h </w:instrText>
      </w:r>
      <w:r w:rsidR="00F3192B">
        <w:fldChar w:fldCharType="separate"/>
      </w:r>
      <w:r w:rsidR="00517F95">
        <w:rPr>
          <w:noProof/>
        </w:rPr>
        <w:t>52</w:t>
      </w:r>
      <w:r w:rsidR="00F3192B">
        <w:fldChar w:fldCharType="end"/>
      </w:r>
      <w:r w:rsidR="00F3192B">
        <w:t xml:space="preserve"> above) at which he heard evidence as to the situation faced by the police and submissions as to whether the statements could be admitted compatibly with Article 6. While at the time of his ruling the judge did not have the benefit of the Grand Chamber</w:t>
      </w:r>
      <w:r w:rsidR="005E7B7A">
        <w:t>’</w:t>
      </w:r>
      <w:r w:rsidR="00F3192B">
        <w:t xml:space="preserve">s judgment in </w:t>
      </w:r>
      <w:r w:rsidR="00F3192B" w:rsidRPr="00092C3A">
        <w:rPr>
          <w:i/>
        </w:rPr>
        <w:t>Salduz</w:t>
      </w:r>
      <w:r w:rsidR="00F3192B">
        <w:t>, he did consider all of the relevant authorities of this Court on the right to legal assistance, particularly in terrorism cases. He also gave rigorous consideration to the circumstances surrounding each of the applicants</w:t>
      </w:r>
      <w:r w:rsidR="005E7B7A">
        <w:t>’</w:t>
      </w:r>
      <w:r w:rsidR="00F3192B">
        <w:t xml:space="preserve"> safety interviews. Having done so, he took great care in explaining why he believed the admission of the statements made in those interviews would not jeopardise the applicants</w:t>
      </w:r>
      <w:r w:rsidR="005E7B7A">
        <w:t>’</w:t>
      </w:r>
      <w:r w:rsidR="00F3192B">
        <w:t xml:space="preserve"> right to a fair trial (see paragraphs </w:t>
      </w:r>
      <w:r w:rsidR="00F3192B">
        <w:fldChar w:fldCharType="begin"/>
      </w:r>
      <w:r w:rsidR="00F3192B">
        <w:instrText xml:space="preserve"> REF First3appsFulfordadmissibilitystart \h </w:instrText>
      </w:r>
      <w:r w:rsidR="00F3192B">
        <w:fldChar w:fldCharType="separate"/>
      </w:r>
      <w:r w:rsidR="00517F95">
        <w:rPr>
          <w:noProof/>
        </w:rPr>
        <w:t>51</w:t>
      </w:r>
      <w:r w:rsidR="00F3192B">
        <w:fldChar w:fldCharType="end"/>
      </w:r>
      <w:r w:rsidR="00F3192B">
        <w:t>-</w:t>
      </w:r>
      <w:r w:rsidR="00F3192B">
        <w:fldChar w:fldCharType="begin"/>
      </w:r>
      <w:r w:rsidR="00F3192B">
        <w:instrText xml:space="preserve"> REF First3appsFulfordadmissibilityend \h </w:instrText>
      </w:r>
      <w:r w:rsidR="00F3192B">
        <w:fldChar w:fldCharType="separate"/>
      </w:r>
      <w:r w:rsidR="00517F95">
        <w:rPr>
          <w:noProof/>
        </w:rPr>
        <w:t>69</w:t>
      </w:r>
      <w:r w:rsidR="00F3192B">
        <w:fldChar w:fldCharType="end"/>
      </w:r>
      <w:r w:rsidR="00F3192B">
        <w:t xml:space="preserve"> above). His ruling was examined on appeal, with the Court of Appeal commenting on the “conspicuous fairness and commanding judicial control” of the trial judge (see paragraph </w:t>
      </w:r>
      <w:r w:rsidR="00F3192B">
        <w:fldChar w:fldCharType="begin"/>
      </w:r>
      <w:r w:rsidR="00F3192B">
        <w:instrText xml:space="preserve"> REF ludicrous \h </w:instrText>
      </w:r>
      <w:r w:rsidR="00F3192B">
        <w:fldChar w:fldCharType="separate"/>
      </w:r>
      <w:r w:rsidR="00517F95">
        <w:rPr>
          <w:noProof/>
        </w:rPr>
        <w:t>89</w:t>
      </w:r>
      <w:r w:rsidR="00F3192B">
        <w:fldChar w:fldCharType="end"/>
      </w:r>
      <w:r w:rsidR="00F3192B">
        <w:t xml:space="preserve"> above). The Court of Appeal further noted that the fact that the applicants had chosen not to incriminate themselves but to lie was “[o]n any view an important consideration in the exercise of Fulford J</w:t>
      </w:r>
      <w:r w:rsidR="005E7B7A">
        <w:t>’</w:t>
      </w:r>
      <w:r w:rsidR="00F3192B">
        <w:t xml:space="preserve">s discretion” (see paragraph </w:t>
      </w:r>
      <w:r w:rsidR="00F3192B">
        <w:fldChar w:fldCharType="begin"/>
      </w:r>
      <w:r w:rsidR="00F3192B">
        <w:instrText xml:space="preserve"> REF CourtofAppealliednotselfincriminated \h </w:instrText>
      </w:r>
      <w:r w:rsidR="00F3192B">
        <w:fldChar w:fldCharType="separate"/>
      </w:r>
      <w:r w:rsidR="00517F95">
        <w:rPr>
          <w:noProof/>
        </w:rPr>
        <w:t>93</w:t>
      </w:r>
      <w:r w:rsidR="00F3192B">
        <w:fldChar w:fldCharType="end"/>
      </w:r>
      <w:r w:rsidR="00F3192B">
        <w:t xml:space="preserve"> above). It found no reason to interfere with the trial judge</w:t>
      </w:r>
      <w:r w:rsidR="005E7B7A">
        <w:t>’</w:t>
      </w:r>
      <w:r w:rsidR="00F8030D">
        <w:t>s decision.</w:t>
      </w:r>
    </w:p>
    <w:p w:rsidR="00092C3A" w:rsidRDefault="00555E80" w:rsidP="00092C3A">
      <w:pPr>
        <w:pStyle w:val="JuPara"/>
      </w:pPr>
      <w:r>
        <w:lastRenderedPageBreak/>
        <w:fldChar w:fldCharType="begin"/>
      </w:r>
      <w:r>
        <w:instrText xml:space="preserve"> SEQ level0 \*arabic </w:instrText>
      </w:r>
      <w:r>
        <w:fldChar w:fldCharType="separate"/>
      </w:r>
      <w:r w:rsidR="00517F95">
        <w:rPr>
          <w:noProof/>
        </w:rPr>
        <w:t>210</w:t>
      </w:r>
      <w:r>
        <w:rPr>
          <w:noProof/>
        </w:rPr>
        <w:fldChar w:fldCharType="end"/>
      </w:r>
      <w:r w:rsidR="004226B3">
        <w:t>.  </w:t>
      </w:r>
      <w:r w:rsidR="008E4413">
        <w:t>More broadly, i</w:t>
      </w:r>
      <w:r w:rsidR="004226B3">
        <w:t>n cases involving trial by jury the Court has regularly emphasised the importance of directions given to the jury by the trial judge</w:t>
      </w:r>
      <w:r w:rsidR="00D2614D">
        <w:t xml:space="preserve"> to ensure the fairness of the proceedings</w:t>
      </w:r>
      <w:r w:rsidR="004226B3">
        <w:t xml:space="preserve"> (see, for instance, </w:t>
      </w:r>
      <w:r w:rsidR="004226B3" w:rsidRPr="00092C3A">
        <w:rPr>
          <w:i/>
        </w:rPr>
        <w:t>Mustafa (Abu Hamza) (No. 1) v. United Kingdom</w:t>
      </w:r>
      <w:r w:rsidR="004226B3">
        <w:t xml:space="preserve"> (dec.), no.</w:t>
      </w:r>
      <w:r w:rsidR="00F8030D">
        <w:t xml:space="preserve"> </w:t>
      </w:r>
      <w:r w:rsidR="004226B3">
        <w:t xml:space="preserve">31411/07, § 40, 18 January 2011; </w:t>
      </w:r>
      <w:r w:rsidR="00051BAF">
        <w:rPr>
          <w:i/>
        </w:rPr>
        <w:t>Beggs v.</w:t>
      </w:r>
      <w:r w:rsidR="00F8030D">
        <w:rPr>
          <w:i/>
        </w:rPr>
        <w:t xml:space="preserve"> </w:t>
      </w:r>
      <w:r w:rsidR="004226B3" w:rsidRPr="00092C3A">
        <w:rPr>
          <w:i/>
        </w:rPr>
        <w:t>the United Kingdom</w:t>
      </w:r>
      <w:r w:rsidR="004226B3">
        <w:t xml:space="preserve"> (dec.), no. 15499/10, § 124, 16 October 2012 (with further references therein)</w:t>
      </w:r>
      <w:r w:rsidR="00611184">
        <w:t>)</w:t>
      </w:r>
      <w:r w:rsidR="004226B3">
        <w:t>.</w:t>
      </w:r>
      <w:r w:rsidR="00F8030D">
        <w:t xml:space="preserve"> </w:t>
      </w:r>
      <w:r w:rsidR="008151AB">
        <w:t>In the applicants</w:t>
      </w:r>
      <w:r w:rsidR="005E7B7A">
        <w:t>’</w:t>
      </w:r>
      <w:r w:rsidR="008151AB">
        <w:t xml:space="preserve"> case, t</w:t>
      </w:r>
      <w:r w:rsidR="00F71EF7">
        <w:t>he trial judge</w:t>
      </w:r>
      <w:r w:rsidR="004226B3">
        <w:t xml:space="preserve"> performed </w:t>
      </w:r>
      <w:r w:rsidR="00611184">
        <w:t>his</w:t>
      </w:r>
      <w:r w:rsidR="004226B3">
        <w:t xml:space="preserve"> crucial role with care, diligence and fairness</w:t>
      </w:r>
      <w:r w:rsidR="00195190">
        <w:t xml:space="preserve"> (see paragraphs </w:t>
      </w:r>
      <w:r w:rsidR="0082058A">
        <w:fldChar w:fldCharType="begin"/>
      </w:r>
      <w:r w:rsidR="00184552">
        <w:instrText xml:space="preserve"> REF Fulfordsummingup1 \h </w:instrText>
      </w:r>
      <w:r w:rsidR="0082058A">
        <w:fldChar w:fldCharType="separate"/>
      </w:r>
      <w:r w:rsidR="00517F95">
        <w:rPr>
          <w:noProof/>
        </w:rPr>
        <w:t>79</w:t>
      </w:r>
      <w:r w:rsidR="0082058A">
        <w:fldChar w:fldCharType="end"/>
      </w:r>
      <w:r w:rsidR="00195190">
        <w:t>-</w:t>
      </w:r>
      <w:r w:rsidR="0082058A">
        <w:fldChar w:fldCharType="begin"/>
      </w:r>
      <w:r w:rsidR="00611184">
        <w:instrText xml:space="preserve"> REF Fulfordsumminguplaterinterviews \h </w:instrText>
      </w:r>
      <w:r w:rsidR="0082058A">
        <w:fldChar w:fldCharType="separate"/>
      </w:r>
      <w:r w:rsidR="00517F95">
        <w:rPr>
          <w:noProof/>
        </w:rPr>
        <w:t>83</w:t>
      </w:r>
      <w:r w:rsidR="0082058A">
        <w:fldChar w:fldCharType="end"/>
      </w:r>
      <w:r w:rsidR="00611184">
        <w:t xml:space="preserve"> </w:t>
      </w:r>
      <w:r w:rsidR="00195190">
        <w:t>above)</w:t>
      </w:r>
      <w:r w:rsidR="00092C3A">
        <w:t xml:space="preserve">. </w:t>
      </w:r>
      <w:r w:rsidR="0082102B">
        <w:t>His</w:t>
      </w:r>
      <w:r w:rsidR="00092C3A">
        <w:t xml:space="preserve"> directions were circulated to and discussed with counsel in advance</w:t>
      </w:r>
      <w:r w:rsidR="0082102B">
        <w:t xml:space="preserve"> of delivery</w:t>
      </w:r>
      <w:r w:rsidR="00092C3A">
        <w:t xml:space="preserve">. They were also given in written form to the jury. They included the instruction to the jury that, in deciding whether to hold any lie told by the applicants during the safety interviews against them, the jury should remember that the safeguard of access to legal advice had been withheld </w:t>
      </w:r>
      <w:r w:rsidR="000417F7">
        <w:t xml:space="preserve">and bear in mind the possibility of innocent explanations for the lies told </w:t>
      </w:r>
      <w:r w:rsidR="00092C3A">
        <w:t>(see paragraph</w:t>
      </w:r>
      <w:r w:rsidR="000417F7">
        <w:t>s</w:t>
      </w:r>
      <w:r w:rsidR="00092C3A">
        <w:t xml:space="preserve"> </w:t>
      </w:r>
      <w:r w:rsidR="0082058A">
        <w:fldChar w:fldCharType="begin"/>
      </w:r>
      <w:r w:rsidR="00FC2A71">
        <w:instrText xml:space="preserve"> REF Fulfordsummingup1 \h </w:instrText>
      </w:r>
      <w:r w:rsidR="0082058A">
        <w:fldChar w:fldCharType="separate"/>
      </w:r>
      <w:r w:rsidR="00517F95">
        <w:rPr>
          <w:noProof/>
        </w:rPr>
        <w:t>79</w:t>
      </w:r>
      <w:r w:rsidR="0082058A">
        <w:fldChar w:fldCharType="end"/>
      </w:r>
      <w:r w:rsidR="00FC2A71">
        <w:t xml:space="preserve"> </w:t>
      </w:r>
      <w:r w:rsidR="000417F7">
        <w:t xml:space="preserve">and </w:t>
      </w:r>
      <w:r w:rsidR="0082058A">
        <w:fldChar w:fldCharType="begin"/>
      </w:r>
      <w:r w:rsidR="000417F7">
        <w:instrText xml:space="preserve"> REF Fulfordsumminguplies \h </w:instrText>
      </w:r>
      <w:r w:rsidR="0082058A">
        <w:fldChar w:fldCharType="separate"/>
      </w:r>
      <w:r w:rsidR="00517F95">
        <w:rPr>
          <w:noProof/>
        </w:rPr>
        <w:t>81</w:t>
      </w:r>
      <w:r w:rsidR="0082058A">
        <w:fldChar w:fldCharType="end"/>
      </w:r>
      <w:r w:rsidR="000417F7">
        <w:t xml:space="preserve"> </w:t>
      </w:r>
      <w:r w:rsidR="00092C3A">
        <w:t>above). The jury were also asked to take into account the failure to administer the correct caution to the applicants (</w:t>
      </w:r>
      <w:r w:rsidR="00611184">
        <w:t xml:space="preserve">see </w:t>
      </w:r>
      <w:r w:rsidR="00092C3A">
        <w:t xml:space="preserve">paragraph </w:t>
      </w:r>
      <w:r w:rsidR="0082058A">
        <w:fldChar w:fldCharType="begin"/>
      </w:r>
      <w:r w:rsidR="00FC2A71">
        <w:instrText xml:space="preserve"> REF Fulfordsummingupincorrectcautions \h </w:instrText>
      </w:r>
      <w:r w:rsidR="0082058A">
        <w:fldChar w:fldCharType="separate"/>
      </w:r>
      <w:r w:rsidR="00517F95">
        <w:rPr>
          <w:noProof/>
        </w:rPr>
        <w:t>80</w:t>
      </w:r>
      <w:r w:rsidR="0082058A">
        <w:fldChar w:fldCharType="end"/>
      </w:r>
      <w:r w:rsidR="00FC2A71">
        <w:t xml:space="preserve"> </w:t>
      </w:r>
      <w:r w:rsidR="00051BAF">
        <w:t xml:space="preserve">above). An explicit </w:t>
      </w:r>
      <w:r w:rsidR="00092C3A">
        <w:t xml:space="preserve">direction was given to the jury that they </w:t>
      </w:r>
      <w:r w:rsidR="00BB174F">
        <w:t>were not allowed to</w:t>
      </w:r>
      <w:r w:rsidR="00092C3A">
        <w:t xml:space="preserve"> hold it against the applicants that they had failed to mention during the safety interviews matters which they later had relied on in court (</w:t>
      </w:r>
      <w:r w:rsidR="00611184">
        <w:t xml:space="preserve">see </w:t>
      </w:r>
      <w:r w:rsidR="00092C3A">
        <w:t xml:space="preserve">paragraph </w:t>
      </w:r>
      <w:r w:rsidR="0082058A">
        <w:fldChar w:fldCharType="begin"/>
      </w:r>
      <w:r w:rsidR="00611184">
        <w:instrText xml:space="preserve"> REF Fulfordsummingupfailtomention \h </w:instrText>
      </w:r>
      <w:r w:rsidR="0082058A">
        <w:fldChar w:fldCharType="separate"/>
      </w:r>
      <w:r w:rsidR="00517F95">
        <w:rPr>
          <w:noProof/>
        </w:rPr>
        <w:t>82</w:t>
      </w:r>
      <w:r w:rsidR="0082058A">
        <w:fldChar w:fldCharType="end"/>
      </w:r>
      <w:r w:rsidR="00092C3A">
        <w:t xml:space="preserve"> </w:t>
      </w:r>
      <w:r w:rsidR="00092C3A" w:rsidRPr="00FC2A71">
        <w:rPr>
          <w:i/>
        </w:rPr>
        <w:t>in fine</w:t>
      </w:r>
      <w:r w:rsidR="00092C3A">
        <w:t xml:space="preserve"> above). Also, a clear contrast was drawn between the safety interviews and the later interviews where the applicants had</w:t>
      </w:r>
      <w:r w:rsidR="00BB174F">
        <w:t xml:space="preserve"> had</w:t>
      </w:r>
      <w:r w:rsidR="00092C3A">
        <w:t xml:space="preserve"> access to legal advice and </w:t>
      </w:r>
      <w:r w:rsidR="00A742FF">
        <w:t xml:space="preserve">the trial judge </w:t>
      </w:r>
      <w:r w:rsidR="00BB174F">
        <w:t>explicitly told the jury</w:t>
      </w:r>
      <w:r w:rsidR="00092C3A">
        <w:t xml:space="preserve"> that the</w:t>
      </w:r>
      <w:r w:rsidR="00BB174F">
        <w:t>y</w:t>
      </w:r>
      <w:r w:rsidR="00092C3A">
        <w:t xml:space="preserve"> could only draw adverse inferences in respect of the later interviews</w:t>
      </w:r>
      <w:r w:rsidR="00BB174F">
        <w:t xml:space="preserve"> (see </w:t>
      </w:r>
      <w:r w:rsidR="00611184">
        <w:t xml:space="preserve">paragraph </w:t>
      </w:r>
      <w:r w:rsidR="0082058A">
        <w:fldChar w:fldCharType="begin"/>
      </w:r>
      <w:r w:rsidR="00611184">
        <w:instrText xml:space="preserve"> REF Fulfordsumminguplaterinterviews \h </w:instrText>
      </w:r>
      <w:r w:rsidR="0082058A">
        <w:fldChar w:fldCharType="separate"/>
      </w:r>
      <w:r w:rsidR="00517F95">
        <w:rPr>
          <w:noProof/>
        </w:rPr>
        <w:t>83</w:t>
      </w:r>
      <w:r w:rsidR="0082058A">
        <w:fldChar w:fldCharType="end"/>
      </w:r>
      <w:r w:rsidR="00611184">
        <w:t xml:space="preserve"> above</w:t>
      </w:r>
      <w:r w:rsidR="00BB174F">
        <w:t>)</w:t>
      </w:r>
      <w:r w:rsidR="00092C3A">
        <w:t xml:space="preserve">. </w:t>
      </w:r>
      <w:r w:rsidR="000417F7">
        <w:t>T</w:t>
      </w:r>
      <w:r w:rsidR="00092C3A">
        <w:t>hroug</w:t>
      </w:r>
      <w:r w:rsidR="00051BAF">
        <w:t>hout his summing-</w:t>
      </w:r>
      <w:r w:rsidR="00092C3A">
        <w:t xml:space="preserve">up, </w:t>
      </w:r>
      <w:r w:rsidR="00A742FF">
        <w:t>the trial judge</w:t>
      </w:r>
      <w:r w:rsidR="00092C3A">
        <w:t xml:space="preserve"> stressed the need for the jury to consider the case of each defendant and his statements separately, just as </w:t>
      </w:r>
      <w:r w:rsidR="00A742FF">
        <w:t>the judge</w:t>
      </w:r>
      <w:r w:rsidR="00092C3A">
        <w:t xml:space="preserve"> himself had done in his ruling on the admissibility of </w:t>
      </w:r>
      <w:r w:rsidR="00954801">
        <w:t>those</w:t>
      </w:r>
      <w:r w:rsidR="00BB174F">
        <w:t xml:space="preserve"> statements.</w:t>
      </w:r>
    </w:p>
    <w:p w:rsidR="00AC09E0" w:rsidRPr="00047C68" w:rsidRDefault="00047C68" w:rsidP="00047C68">
      <w:pPr>
        <w:pStyle w:val="ECHRHeading6"/>
        <w:rPr>
          <w:b/>
        </w:rPr>
      </w:pPr>
      <w:r w:rsidRPr="00047C68">
        <w:rPr>
          <w:b/>
        </w:rPr>
        <w:t>(δ)</w:t>
      </w:r>
      <w:r w:rsidR="001928E7">
        <w:rPr>
          <w:b/>
        </w:rPr>
        <w:t>  </w:t>
      </w:r>
      <w:r w:rsidR="00B555B0" w:rsidRPr="00047C68">
        <w:rPr>
          <w:b/>
        </w:rPr>
        <w:t>The strength of the other evidence in the case</w:t>
      </w:r>
    </w:p>
    <w:bookmarkStart w:id="143" w:name="firstthreeappsend"/>
    <w:p w:rsidR="0082102B" w:rsidRDefault="00EA0EFA" w:rsidP="00CD6859">
      <w:pPr>
        <w:pStyle w:val="JuPara"/>
      </w:pPr>
      <w:r>
        <w:fldChar w:fldCharType="begin"/>
      </w:r>
      <w:r>
        <w:instrText xml:space="preserve"> SEQ level0 \*arabic </w:instrText>
      </w:r>
      <w:r>
        <w:fldChar w:fldCharType="separate"/>
      </w:r>
      <w:r w:rsidR="00517F95">
        <w:rPr>
          <w:noProof/>
        </w:rPr>
        <w:t>211</w:t>
      </w:r>
      <w:r>
        <w:rPr>
          <w:noProof/>
        </w:rPr>
        <w:fldChar w:fldCharType="end"/>
      </w:r>
      <w:bookmarkEnd w:id="143"/>
      <w:r w:rsidR="00092C3A">
        <w:t>.  </w:t>
      </w:r>
      <w:r w:rsidR="000417F7">
        <w:t>Finally</w:t>
      </w:r>
      <w:r w:rsidR="0082102B">
        <w:t xml:space="preserve">, </w:t>
      </w:r>
      <w:r w:rsidR="007A3CA7">
        <w:t xml:space="preserve">and this is not without some importance, </w:t>
      </w:r>
      <w:r w:rsidR="00092C3A">
        <w:t>th</w:t>
      </w:r>
      <w:r w:rsidR="0082102B">
        <w:t>e safety interview</w:t>
      </w:r>
      <w:r w:rsidR="00092C3A">
        <w:t xml:space="preserve"> statements </w:t>
      </w:r>
      <w:r w:rsidR="00051BAF">
        <w:t xml:space="preserve">were far from the sole evidence in the case and </w:t>
      </w:r>
      <w:r w:rsidR="00092C3A">
        <w:t xml:space="preserve">have to be considered alongside the </w:t>
      </w:r>
      <w:r w:rsidR="00051BAF">
        <w:t xml:space="preserve">wealth of </w:t>
      </w:r>
      <w:r w:rsidR="00092C3A">
        <w:t>other prosecution evidence</w:t>
      </w:r>
      <w:r w:rsidR="00CD6859">
        <w:t xml:space="preserve"> led during the seven-</w:t>
      </w:r>
      <w:r w:rsidR="00092C3A">
        <w:t>month trial. There was the evidence of the extremist views of the men, their attendance at a training camp in the Lake District, Mr Ibrahim</w:t>
      </w:r>
      <w:r w:rsidR="005E7B7A">
        <w:t>’</w:t>
      </w:r>
      <w:r w:rsidR="00092C3A">
        <w:t>s travelling abroad on jihad, and the references to martyrdom on the same pad of paper which had been used to plan the construction of the bombs</w:t>
      </w:r>
      <w:r w:rsidR="0082102B">
        <w:t xml:space="preserve"> (see paragraph </w:t>
      </w:r>
      <w:r w:rsidR="0082058A">
        <w:fldChar w:fldCharType="begin"/>
      </w:r>
      <w:r w:rsidR="00C43F1C">
        <w:instrText xml:space="preserve"> REF F3appsotherevextremist \h </w:instrText>
      </w:r>
      <w:r w:rsidR="0082058A">
        <w:fldChar w:fldCharType="separate"/>
      </w:r>
      <w:r w:rsidR="00517F95">
        <w:rPr>
          <w:noProof/>
        </w:rPr>
        <w:t>71</w:t>
      </w:r>
      <w:r w:rsidR="0082058A">
        <w:fldChar w:fldCharType="end"/>
      </w:r>
      <w:r w:rsidR="00C43F1C">
        <w:t xml:space="preserve"> </w:t>
      </w:r>
      <w:r w:rsidR="0082102B">
        <w:t>above)</w:t>
      </w:r>
      <w:r w:rsidR="00092C3A">
        <w:t>. There was Mr Mohammed</w:t>
      </w:r>
      <w:r w:rsidR="005E7B7A">
        <w:t>’</w:t>
      </w:r>
      <w:r w:rsidR="00092C3A">
        <w:t>s farewell letter</w:t>
      </w:r>
      <w:r w:rsidR="00BB174F">
        <w:t xml:space="preserve"> (see paragraph </w:t>
      </w:r>
      <w:r w:rsidR="0082058A">
        <w:fldChar w:fldCharType="begin"/>
      </w:r>
      <w:r w:rsidR="00C43F1C">
        <w:instrText xml:space="preserve"> REF F3appsotherevfarewell \h </w:instrText>
      </w:r>
      <w:r w:rsidR="0082058A">
        <w:fldChar w:fldCharType="separate"/>
      </w:r>
      <w:r w:rsidR="00517F95">
        <w:rPr>
          <w:noProof/>
        </w:rPr>
        <w:t>75</w:t>
      </w:r>
      <w:r w:rsidR="0082058A">
        <w:fldChar w:fldCharType="end"/>
      </w:r>
      <w:r w:rsidR="00C43F1C">
        <w:t xml:space="preserve"> </w:t>
      </w:r>
      <w:r w:rsidR="00BB174F">
        <w:t>above)</w:t>
      </w:r>
      <w:r w:rsidR="00092C3A">
        <w:t xml:space="preserve">. There </w:t>
      </w:r>
      <w:r w:rsidR="00C43F1C">
        <w:t>was evidence of</w:t>
      </w:r>
      <w:r w:rsidR="00092C3A">
        <w:t xml:space="preserve"> the extensive contact betw</w:t>
      </w:r>
      <w:r w:rsidR="00C43F1C">
        <w:t>een the men before and after 21</w:t>
      </w:r>
      <w:r w:rsidR="00C10B84">
        <w:t xml:space="preserve"> </w:t>
      </w:r>
      <w:r w:rsidR="00092C3A">
        <w:t>July 2005</w:t>
      </w:r>
      <w:r w:rsidR="00C43F1C">
        <w:t xml:space="preserve"> (see paragraph </w:t>
      </w:r>
      <w:r w:rsidR="0082058A">
        <w:fldChar w:fldCharType="begin"/>
      </w:r>
      <w:r w:rsidR="00C43F1C">
        <w:instrText xml:space="preserve"> REF F3appsotherevcontacts \h </w:instrText>
      </w:r>
      <w:r w:rsidR="0082058A">
        <w:fldChar w:fldCharType="separate"/>
      </w:r>
      <w:r w:rsidR="00517F95">
        <w:rPr>
          <w:noProof/>
        </w:rPr>
        <w:t>74</w:t>
      </w:r>
      <w:r w:rsidR="0082058A">
        <w:fldChar w:fldCharType="end"/>
      </w:r>
      <w:r w:rsidR="00C43F1C">
        <w:t xml:space="preserve"> above)</w:t>
      </w:r>
      <w:r w:rsidR="00092C3A">
        <w:t xml:space="preserve">. There was the evidence that they had bought vast quantities of hydrogen peroxide and patiently concentrated it, </w:t>
      </w:r>
      <w:r w:rsidR="00C43F1C">
        <w:t>marking the bottles in a manner suggesting that they believed that had reached a high enough concentration to achieve an explosion</w:t>
      </w:r>
      <w:r w:rsidR="00BB174F">
        <w:t xml:space="preserve"> (see paragraph </w:t>
      </w:r>
      <w:r w:rsidR="0082058A">
        <w:fldChar w:fldCharType="begin"/>
      </w:r>
      <w:r w:rsidR="00C43F1C">
        <w:instrText xml:space="preserve"> REF F3appsotherevbombmaking \h </w:instrText>
      </w:r>
      <w:r w:rsidR="0082058A">
        <w:fldChar w:fldCharType="separate"/>
      </w:r>
      <w:r w:rsidR="00517F95">
        <w:rPr>
          <w:noProof/>
        </w:rPr>
        <w:t>72</w:t>
      </w:r>
      <w:r w:rsidR="0082058A">
        <w:fldChar w:fldCharType="end"/>
      </w:r>
      <w:r w:rsidR="00C43F1C">
        <w:t xml:space="preserve"> </w:t>
      </w:r>
      <w:r w:rsidR="00BB174F">
        <w:t>above)</w:t>
      </w:r>
      <w:r w:rsidR="00092C3A">
        <w:t>. There was the evidence as to the construction of the bombs, which were, in all other respects, viable devices, containing as they did working</w:t>
      </w:r>
      <w:r w:rsidR="00BB174F">
        <w:t xml:space="preserve"> electrical circuits, </w:t>
      </w:r>
      <w:r w:rsidR="003D1EB5">
        <w:t>detonators</w:t>
      </w:r>
      <w:r w:rsidR="00BB174F">
        <w:t xml:space="preserve"> and </w:t>
      </w:r>
      <w:r w:rsidR="00092C3A">
        <w:t>shrapnel</w:t>
      </w:r>
      <w:r w:rsidR="00BB174F">
        <w:t>, intended to cause maximum impact on explosion</w:t>
      </w:r>
      <w:r w:rsidR="00C43F1C">
        <w:t xml:space="preserve"> (see paragraph </w:t>
      </w:r>
      <w:r w:rsidR="0082058A">
        <w:fldChar w:fldCharType="begin"/>
      </w:r>
      <w:r w:rsidR="00C43F1C">
        <w:instrText xml:space="preserve"> REF F3appsotherevscientific \h </w:instrText>
      </w:r>
      <w:r w:rsidR="0082058A">
        <w:fldChar w:fldCharType="separate"/>
      </w:r>
      <w:r w:rsidR="00517F95">
        <w:rPr>
          <w:noProof/>
        </w:rPr>
        <w:t>73</w:t>
      </w:r>
      <w:r w:rsidR="0082058A">
        <w:fldChar w:fldCharType="end"/>
      </w:r>
      <w:r w:rsidR="00C43F1C">
        <w:t xml:space="preserve"> above)</w:t>
      </w:r>
      <w:r w:rsidR="00092C3A">
        <w:t xml:space="preserve">. </w:t>
      </w:r>
      <w:r w:rsidR="00BB174F">
        <w:t>Th</w:t>
      </w:r>
      <w:r w:rsidR="00092C3A">
        <w:t>e prosecution</w:t>
      </w:r>
      <w:r w:rsidR="005E7B7A">
        <w:t>’</w:t>
      </w:r>
      <w:r w:rsidR="00092C3A">
        <w:t xml:space="preserve">s scientific expert pointed out that, if the intention had only been to create a </w:t>
      </w:r>
      <w:r w:rsidR="00BB174F">
        <w:t>loud</w:t>
      </w:r>
      <w:r w:rsidR="00092C3A">
        <w:t xml:space="preserve"> bang, no concentration </w:t>
      </w:r>
      <w:r w:rsidR="0096529E">
        <w:t>would have been</w:t>
      </w:r>
      <w:r w:rsidR="00092C3A">
        <w:t xml:space="preserve"> necessary. </w:t>
      </w:r>
      <w:r w:rsidR="00BB174F">
        <w:t xml:space="preserve">The same is true of the inclusion of the shrapnel. </w:t>
      </w:r>
      <w:r w:rsidR="00092C3A">
        <w:t xml:space="preserve">There was </w:t>
      </w:r>
      <w:r w:rsidR="00BB174F">
        <w:t>further scientific evidence in the form of</w:t>
      </w:r>
      <w:r w:rsidR="00092C3A">
        <w:t xml:space="preserve"> the isotopic analysis, which disproved the men</w:t>
      </w:r>
      <w:r w:rsidR="005E7B7A">
        <w:t>’</w:t>
      </w:r>
      <w:r w:rsidR="00092C3A">
        <w:t>s claim to have concentrated the hydrogen peroxide and then diluted it again with tap water</w:t>
      </w:r>
      <w:r w:rsidR="00C43F1C">
        <w:t xml:space="preserve"> (see paragraph </w:t>
      </w:r>
      <w:r w:rsidR="0082058A">
        <w:fldChar w:fldCharType="begin"/>
      </w:r>
      <w:r w:rsidR="00C43F1C">
        <w:instrText xml:space="preserve"> REF F3appsotherevscientific \h </w:instrText>
      </w:r>
      <w:r w:rsidR="0082058A">
        <w:fldChar w:fldCharType="separate"/>
      </w:r>
      <w:r w:rsidR="00517F95">
        <w:rPr>
          <w:noProof/>
        </w:rPr>
        <w:t>73</w:t>
      </w:r>
      <w:r w:rsidR="0082058A">
        <w:fldChar w:fldCharType="end"/>
      </w:r>
      <w:r w:rsidR="00C43F1C">
        <w:t xml:space="preserve"> above)</w:t>
      </w:r>
      <w:r w:rsidR="00092C3A">
        <w:t xml:space="preserve">. </w:t>
      </w:r>
      <w:r w:rsidR="00C43F1C">
        <w:t>T</w:t>
      </w:r>
      <w:r w:rsidR="00092C3A">
        <w:t>here was the</w:t>
      </w:r>
      <w:r w:rsidR="00C43F1C">
        <w:t xml:space="preserve"> witness</w:t>
      </w:r>
      <w:r w:rsidR="00092C3A">
        <w:t xml:space="preserve"> evidence of the passengers on the t</w:t>
      </w:r>
      <w:r w:rsidR="00B34516">
        <w:t>rains boarded by Mr Omar and Mr </w:t>
      </w:r>
      <w:r w:rsidR="00092C3A">
        <w:t>Mohammed as to their shocked reactions when their bombs did not detonate</w:t>
      </w:r>
      <w:r w:rsidR="00BB174F">
        <w:t xml:space="preserve"> (see paragraph </w:t>
      </w:r>
      <w:r w:rsidR="0082058A">
        <w:fldChar w:fldCharType="begin"/>
      </w:r>
      <w:r w:rsidR="00C43F1C">
        <w:instrText xml:space="preserve"> REF F3appsotherevpassengers \h </w:instrText>
      </w:r>
      <w:r w:rsidR="0082058A">
        <w:fldChar w:fldCharType="separate"/>
      </w:r>
      <w:r w:rsidR="00517F95">
        <w:rPr>
          <w:noProof/>
        </w:rPr>
        <w:t>76</w:t>
      </w:r>
      <w:r w:rsidR="0082058A">
        <w:fldChar w:fldCharType="end"/>
      </w:r>
      <w:r w:rsidR="00C43F1C">
        <w:t xml:space="preserve"> </w:t>
      </w:r>
      <w:r w:rsidR="00BB174F">
        <w:t>above)</w:t>
      </w:r>
      <w:r w:rsidR="0082102B">
        <w:t xml:space="preserve">. </w:t>
      </w:r>
      <w:r w:rsidR="00C43F1C">
        <w:t xml:space="preserve">Lastly, there was oral evidence from the fifth bomber, Mr Asiedu, flatly contradicting the claim that the attacks had been intended as a hoax (see paragraph </w:t>
      </w:r>
      <w:r w:rsidR="0082058A">
        <w:fldChar w:fldCharType="begin"/>
      </w:r>
      <w:r w:rsidR="00C43F1C">
        <w:instrText xml:space="preserve"> REF F3appsotherevasiedu \h </w:instrText>
      </w:r>
      <w:r w:rsidR="0082058A">
        <w:fldChar w:fldCharType="separate"/>
      </w:r>
      <w:r w:rsidR="00517F95">
        <w:rPr>
          <w:noProof/>
        </w:rPr>
        <w:t>78</w:t>
      </w:r>
      <w:r w:rsidR="0082058A">
        <w:fldChar w:fldCharType="end"/>
      </w:r>
      <w:r w:rsidR="00C43F1C">
        <w:t xml:space="preserve"> above).</w:t>
      </w:r>
      <w:r w:rsidR="000B7B94">
        <w:t xml:space="preserve"> There is no doubt that this amounted to a significant body of </w:t>
      </w:r>
      <w:r w:rsidR="00B555B0">
        <w:t xml:space="preserve">independent </w:t>
      </w:r>
      <w:r w:rsidR="000B7B94">
        <w:t>evidence capable of undermining the applicants</w:t>
      </w:r>
      <w:r w:rsidR="005E7B7A">
        <w:t>’</w:t>
      </w:r>
      <w:r w:rsidR="000B7B94">
        <w:t xml:space="preserve"> defence at trial.</w:t>
      </w:r>
    </w:p>
    <w:p w:rsidR="00AC09E0" w:rsidRPr="00047C68" w:rsidRDefault="00F3192B" w:rsidP="00047C68">
      <w:pPr>
        <w:pStyle w:val="ECHRHeading6"/>
        <w:rPr>
          <w:b/>
        </w:rPr>
      </w:pPr>
      <w:r w:rsidRPr="00047C68">
        <w:rPr>
          <w:b/>
        </w:rPr>
        <w:t>(</w:t>
      </w:r>
      <w:r w:rsidR="00047C68" w:rsidRPr="00047C68">
        <w:rPr>
          <w:b/>
        </w:rPr>
        <w:t>ε</w:t>
      </w:r>
      <w:r w:rsidRPr="00047C68">
        <w:rPr>
          <w:b/>
        </w:rPr>
        <w:t>)</w:t>
      </w:r>
      <w:r w:rsidR="001928E7">
        <w:rPr>
          <w:b/>
        </w:rPr>
        <w:t>  </w:t>
      </w:r>
      <w:r w:rsidR="00B555B0" w:rsidRPr="00047C68">
        <w:rPr>
          <w:b/>
        </w:rPr>
        <w:t>Conclusion</w:t>
      </w:r>
    </w:p>
    <w:p w:rsidR="00AC09E0" w:rsidRDefault="00555E80" w:rsidP="00AC09E0">
      <w:pPr>
        <w:pStyle w:val="JuPara"/>
      </w:pPr>
      <w:r>
        <w:fldChar w:fldCharType="begin"/>
      </w:r>
      <w:r>
        <w:instrText xml:space="preserve"> SEQ level0 \*arabic </w:instrText>
      </w:r>
      <w:r>
        <w:fldChar w:fldCharType="separate"/>
      </w:r>
      <w:r w:rsidR="00517F95">
        <w:rPr>
          <w:noProof/>
        </w:rPr>
        <w:t>212</w:t>
      </w:r>
      <w:r>
        <w:rPr>
          <w:noProof/>
        </w:rPr>
        <w:fldChar w:fldCharType="end"/>
      </w:r>
      <w:r w:rsidR="00AC09E0">
        <w:t xml:space="preserve">.  In the present case, it must be borne in mind that the applicants, not the prosecution, brought the safety interview statements into play at trial by deploying a defence that was later described by the Court of Appeal as “ludicrous” (see paragraph </w:t>
      </w:r>
      <w:r w:rsidR="0082058A">
        <w:fldChar w:fldCharType="begin"/>
      </w:r>
      <w:r w:rsidR="00AC09E0">
        <w:instrText xml:space="preserve"> REF ludicrous \h </w:instrText>
      </w:r>
      <w:r w:rsidR="0082058A">
        <w:fldChar w:fldCharType="separate"/>
      </w:r>
      <w:r w:rsidR="00517F95">
        <w:rPr>
          <w:noProof/>
        </w:rPr>
        <w:t>89</w:t>
      </w:r>
      <w:r w:rsidR="0082058A">
        <w:fldChar w:fldCharType="end"/>
      </w:r>
      <w:r w:rsidR="00AC09E0">
        <w:t xml:space="preserve"> above). Their defence had all the hallmarks of being tailored to fit the rest of the prosecution case against them. It would not have struck the correct balance between the applicants</w:t>
      </w:r>
      <w:r w:rsidR="005E7B7A">
        <w:t>’</w:t>
      </w:r>
      <w:r w:rsidR="00AC09E0">
        <w:t xml:space="preserve"> Article 6 right and the general interest in their prosecution if, when faced with that hoax defence, the prosecution had been unable to rely on statements from the applicants that not only undermined that defence but flatly contradicted it.</w:t>
      </w:r>
    </w:p>
    <w:p w:rsidR="00092C3A" w:rsidRDefault="00555E80" w:rsidP="00092C3A">
      <w:pPr>
        <w:pStyle w:val="JuPara"/>
      </w:pPr>
      <w:r>
        <w:fldChar w:fldCharType="begin"/>
      </w:r>
      <w:r>
        <w:instrText xml:space="preserve"> SEQ le</w:instrText>
      </w:r>
      <w:r>
        <w:instrText xml:space="preserve">vel0 \*arabic </w:instrText>
      </w:r>
      <w:r>
        <w:fldChar w:fldCharType="separate"/>
      </w:r>
      <w:r w:rsidR="00517F95">
        <w:rPr>
          <w:noProof/>
        </w:rPr>
        <w:t>213</w:t>
      </w:r>
      <w:r>
        <w:rPr>
          <w:noProof/>
        </w:rPr>
        <w:fldChar w:fldCharType="end"/>
      </w:r>
      <w:r w:rsidR="003F47BA">
        <w:t>.  </w:t>
      </w:r>
      <w:r w:rsidR="00092C3A">
        <w:t>For the</w:t>
      </w:r>
      <w:r w:rsidR="008E4413">
        <w:t>se reasons and for the</w:t>
      </w:r>
      <w:r w:rsidR="00092C3A">
        <w:t xml:space="preserve"> reasons</w:t>
      </w:r>
      <w:r w:rsidR="00C10B84">
        <w:t xml:space="preserve"> given above (see paragraphs </w:t>
      </w:r>
      <w:r w:rsidR="008E4413">
        <w:fldChar w:fldCharType="begin"/>
      </w:r>
      <w:r w:rsidR="008E4413">
        <w:instrText xml:space="preserve"> REF firstthreeappsstart \h </w:instrText>
      </w:r>
      <w:r w:rsidR="008E4413">
        <w:fldChar w:fldCharType="separate"/>
      </w:r>
      <w:r w:rsidR="00517F95">
        <w:rPr>
          <w:noProof/>
        </w:rPr>
        <w:t>205</w:t>
      </w:r>
      <w:r w:rsidR="008E4413">
        <w:fldChar w:fldCharType="end"/>
      </w:r>
      <w:r w:rsidR="008E4413">
        <w:t>-</w:t>
      </w:r>
      <w:r w:rsidR="008E4413">
        <w:fldChar w:fldCharType="begin"/>
      </w:r>
      <w:r w:rsidR="008E4413">
        <w:instrText xml:space="preserve"> REF firstthreeappsend \h </w:instrText>
      </w:r>
      <w:r w:rsidR="008E4413">
        <w:fldChar w:fldCharType="separate"/>
      </w:r>
      <w:r w:rsidR="00517F95">
        <w:rPr>
          <w:noProof/>
        </w:rPr>
        <w:t>211</w:t>
      </w:r>
      <w:r w:rsidR="008E4413">
        <w:fldChar w:fldCharType="end"/>
      </w:r>
      <w:r w:rsidR="008E4413">
        <w:t xml:space="preserve">) </w:t>
      </w:r>
      <w:r w:rsidR="00092C3A">
        <w:t xml:space="preserve">the Court finds that, taken cumulatively, </w:t>
      </w:r>
      <w:r w:rsidR="003D1B82">
        <w:t xml:space="preserve">the counterbalancing safeguards contained in </w:t>
      </w:r>
      <w:r w:rsidR="00092C3A">
        <w:t xml:space="preserve">the legislative framework governing safety interviews, </w:t>
      </w:r>
      <w:r w:rsidR="003D1B82">
        <w:t xml:space="preserve">the </w:t>
      </w:r>
      <w:r w:rsidR="00092C3A">
        <w:t xml:space="preserve">careful application </w:t>
      </w:r>
      <w:r w:rsidR="003D1B82">
        <w:t xml:space="preserve">of that legislative framework </w:t>
      </w:r>
      <w:r w:rsidR="00092C3A">
        <w:t xml:space="preserve">by the police </w:t>
      </w:r>
      <w:r w:rsidR="003F47BA">
        <w:t>in</w:t>
      </w:r>
      <w:r w:rsidR="00092C3A">
        <w:t xml:space="preserve"> the</w:t>
      </w:r>
      <w:r w:rsidR="003F47BA">
        <w:t xml:space="preserve"> applicants</w:t>
      </w:r>
      <w:r w:rsidR="005E7B7A">
        <w:t>’</w:t>
      </w:r>
      <w:r w:rsidR="00092C3A">
        <w:t xml:space="preserve"> cases, </w:t>
      </w:r>
      <w:r w:rsidR="00F71EF7">
        <w:t>the trial judge</w:t>
      </w:r>
      <w:r w:rsidR="005E7B7A">
        <w:t>’</w:t>
      </w:r>
      <w:r w:rsidR="00F71EF7">
        <w:t>s</w:t>
      </w:r>
      <w:r w:rsidR="00092C3A">
        <w:t xml:space="preserve"> ruling </w:t>
      </w:r>
      <w:r w:rsidR="00BB174F">
        <w:t xml:space="preserve">on admissibility </w:t>
      </w:r>
      <w:r w:rsidR="003F47BA">
        <w:t>and his directions to the jury</w:t>
      </w:r>
      <w:r w:rsidR="00092C3A">
        <w:t xml:space="preserve"> and the strength of the</w:t>
      </w:r>
      <w:r w:rsidR="003F47BA">
        <w:t xml:space="preserve"> other</w:t>
      </w:r>
      <w:r w:rsidR="00092C3A">
        <w:t xml:space="preserve"> prosecution evidence against the first three applicants mean that no </w:t>
      </w:r>
      <w:r w:rsidR="006131C1">
        <w:t>undue</w:t>
      </w:r>
      <w:r w:rsidR="00092C3A">
        <w:t xml:space="preserve"> prejudice </w:t>
      </w:r>
      <w:r w:rsidR="00602A43">
        <w:t xml:space="preserve">can be held to have been caused </w:t>
      </w:r>
      <w:r w:rsidR="00092C3A">
        <w:t>to their Article 6</w:t>
      </w:r>
      <w:r w:rsidR="001A6C24">
        <w:t xml:space="preserve"> § 1</w:t>
      </w:r>
      <w:r w:rsidR="00092C3A">
        <w:t xml:space="preserve"> right</w:t>
      </w:r>
      <w:r w:rsidR="00C11E76">
        <w:t xml:space="preserve"> to a fair trial</w:t>
      </w:r>
      <w:r w:rsidR="00092C3A">
        <w:t xml:space="preserve"> as a result of the denial of legal advice to them before and during their safety interviews</w:t>
      </w:r>
      <w:r w:rsidR="00C11E76">
        <w:t>, followed by</w:t>
      </w:r>
      <w:r w:rsidR="00092C3A">
        <w:t xml:space="preserve"> the admission of the statements made during those interviews at their trial. Accordingly, it </w:t>
      </w:r>
      <w:r w:rsidR="00602A43">
        <w:t>concludes</w:t>
      </w:r>
      <w:r w:rsidR="00092C3A">
        <w:t xml:space="preserve"> that there </w:t>
      </w:r>
      <w:r w:rsidR="00BB174F">
        <w:t>has been</w:t>
      </w:r>
      <w:r w:rsidR="00B34516">
        <w:t xml:space="preserve"> no breach of Article</w:t>
      </w:r>
      <w:r w:rsidR="00C10B84">
        <w:t xml:space="preserve"> </w:t>
      </w:r>
      <w:r w:rsidR="00092C3A">
        <w:t>6 § 1 read in conjunction with Article 6 § 3 (c) of the Convention in respect of the first three applicants.</w:t>
      </w:r>
    </w:p>
    <w:p w:rsidR="00B41F7B" w:rsidRDefault="001928E7" w:rsidP="00B41F7B">
      <w:pPr>
        <w:pStyle w:val="JuHi1"/>
      </w:pPr>
      <w:r>
        <w:t>(ii)  </w:t>
      </w:r>
      <w:r w:rsidR="00FC3A80">
        <w:t>The fourth applicant</w:t>
      </w:r>
    </w:p>
    <w:p w:rsidR="00886DD4" w:rsidRDefault="00555E80" w:rsidP="00886DD4">
      <w:pPr>
        <w:pStyle w:val="JuPara"/>
      </w:pPr>
      <w:r>
        <w:fldChar w:fldCharType="begin"/>
      </w:r>
      <w:r>
        <w:instrText xml:space="preserve"> SEQ level0 \*arabic </w:instrText>
      </w:r>
      <w:r>
        <w:fldChar w:fldCharType="separate"/>
      </w:r>
      <w:r w:rsidR="00517F95">
        <w:rPr>
          <w:noProof/>
        </w:rPr>
        <w:t>214</w:t>
      </w:r>
      <w:r>
        <w:rPr>
          <w:noProof/>
        </w:rPr>
        <w:fldChar w:fldCharType="end"/>
      </w:r>
      <w:r w:rsidR="00B41F7B">
        <w:t>.  </w:t>
      </w:r>
      <w:r w:rsidR="00136576">
        <w:t xml:space="preserve">Unlike the statements of the first three applicants, </w:t>
      </w:r>
      <w:r w:rsidR="00B41F7B">
        <w:t>the witness statement made by the fourth applicant was self-incrimina</w:t>
      </w:r>
      <w:r w:rsidR="00886DD4">
        <w:t>tory</w:t>
      </w:r>
      <w:r w:rsidR="00B41F7B">
        <w:t>.</w:t>
      </w:r>
      <w:r w:rsidR="00886DD4">
        <w:t xml:space="preserve"> </w:t>
      </w:r>
      <w:r w:rsidR="00B41F7B">
        <w:t>Until it was made, the fourth applicant was not a suspect</w:t>
      </w:r>
      <w:r w:rsidR="00136576">
        <w:t>:</w:t>
      </w:r>
      <w:r w:rsidR="00B41F7B">
        <w:t xml:space="preserve"> he was helping the police trace Mr Osman.</w:t>
      </w:r>
      <w:r w:rsidR="00886DD4" w:rsidRPr="00886DD4">
        <w:t xml:space="preserve"> </w:t>
      </w:r>
      <w:r w:rsidR="00886DD4">
        <w:t xml:space="preserve">But what began as a witness interview to gain information about a suspected terrorist bomber on the run took on a different character as the fourth applicant started to supply information incriminating himself. Yet the police interrogators were nonetheless instructed by a superior not to set in </w:t>
      </w:r>
      <w:r w:rsidR="00886DD4" w:rsidRPr="006131C1">
        <w:t xml:space="preserve">motion the applicable legal machinery for ensuring the rights </w:t>
      </w:r>
      <w:r w:rsidR="003F47BA" w:rsidRPr="006131C1">
        <w:t xml:space="preserve">of </w:t>
      </w:r>
      <w:r w:rsidR="003D1EB5">
        <w:t>suspected persons</w:t>
      </w:r>
      <w:r w:rsidR="003F47BA" w:rsidRPr="006131C1">
        <w:t xml:space="preserve"> (see paragraph </w:t>
      </w:r>
      <w:r w:rsidR="0082058A" w:rsidRPr="006131C1">
        <w:fldChar w:fldCharType="begin"/>
      </w:r>
      <w:r w:rsidR="00753F27" w:rsidRPr="006131C1">
        <w:instrText xml:space="preserve"> REF Abdustartinterview \h </w:instrText>
      </w:r>
      <w:r w:rsidR="0082058A" w:rsidRPr="006131C1">
        <w:fldChar w:fldCharType="separate"/>
      </w:r>
      <w:r w:rsidR="00517F95">
        <w:rPr>
          <w:noProof/>
        </w:rPr>
        <w:t>102</w:t>
      </w:r>
      <w:r w:rsidR="0082058A" w:rsidRPr="006131C1">
        <w:fldChar w:fldCharType="end"/>
      </w:r>
      <w:r w:rsidR="003F47BA" w:rsidRPr="006131C1">
        <w:t xml:space="preserve"> </w:t>
      </w:r>
      <w:r w:rsidR="00886DD4" w:rsidRPr="006131C1">
        <w:t xml:space="preserve">above). </w:t>
      </w:r>
      <w:r w:rsidR="00753F27" w:rsidRPr="006131C1">
        <w:t>The Court has accepted that</w:t>
      </w:r>
      <w:r w:rsidR="00E436AD" w:rsidRPr="006131C1">
        <w:t xml:space="preserve"> the circumstances confronting the police were exceptional and</w:t>
      </w:r>
      <w:r w:rsidR="000924CB">
        <w:t xml:space="preserve"> that</w:t>
      </w:r>
      <w:r w:rsidR="00E436AD" w:rsidRPr="006131C1">
        <w:t xml:space="preserve"> </w:t>
      </w:r>
      <w:r w:rsidR="003248CF" w:rsidRPr="006131C1">
        <w:t>as a consequence</w:t>
      </w:r>
      <w:r w:rsidR="00753F27" w:rsidRPr="006131C1">
        <w:t>, although their actions were troubling</w:t>
      </w:r>
      <w:r w:rsidR="000924CB">
        <w:t xml:space="preserve"> as the Court of Appeal terms it</w:t>
      </w:r>
      <w:r w:rsidR="00753F27" w:rsidRPr="006131C1">
        <w:t>,</w:t>
      </w:r>
      <w:r w:rsidR="003248CF" w:rsidRPr="006131C1">
        <w:t xml:space="preserve"> the</w:t>
      </w:r>
      <w:r w:rsidR="00753F27" w:rsidRPr="006131C1">
        <w:t>ir</w:t>
      </w:r>
      <w:r w:rsidR="003248CF" w:rsidRPr="006131C1">
        <w:t xml:space="preserve"> reasons for acting as they did were </w:t>
      </w:r>
      <w:r w:rsidR="00554CFF" w:rsidRPr="006131C1">
        <w:t>wholly understandable and “</w:t>
      </w:r>
      <w:r w:rsidR="003248CF" w:rsidRPr="006131C1">
        <w:t>compelling</w:t>
      </w:r>
      <w:r w:rsidR="000924CB">
        <w:t>”</w:t>
      </w:r>
      <w:r w:rsidR="00554CFF" w:rsidRPr="006131C1">
        <w:t xml:space="preserve"> for the purposes of the test set out in </w:t>
      </w:r>
      <w:r w:rsidR="00554CFF" w:rsidRPr="006131C1">
        <w:rPr>
          <w:i/>
        </w:rPr>
        <w:t>Salduz</w:t>
      </w:r>
      <w:r w:rsidR="00C10B84">
        <w:t xml:space="preserve"> (see paragraphs </w:t>
      </w:r>
      <w:r w:rsidR="0082058A" w:rsidRPr="006131C1">
        <w:fldChar w:fldCharType="begin"/>
      </w:r>
      <w:r w:rsidR="00753F27" w:rsidRPr="006131C1">
        <w:instrText xml:space="preserve"> REF Ladbucompelling \h </w:instrText>
      </w:r>
      <w:r w:rsidR="0082058A" w:rsidRPr="006131C1">
        <w:fldChar w:fldCharType="separate"/>
      </w:r>
      <w:r w:rsidR="00517F95">
        <w:rPr>
          <w:noProof/>
        </w:rPr>
        <w:t>202</w:t>
      </w:r>
      <w:r w:rsidR="0082058A" w:rsidRPr="006131C1">
        <w:fldChar w:fldCharType="end"/>
      </w:r>
      <w:r w:rsidR="00753F27" w:rsidRPr="006131C1">
        <w:t>-</w:t>
      </w:r>
      <w:r w:rsidR="0082058A" w:rsidRPr="006131C1">
        <w:fldChar w:fldCharType="begin"/>
      </w:r>
      <w:r w:rsidR="00753F27" w:rsidRPr="006131C1">
        <w:instrText xml:space="preserve"> REF Lcompellingconc \h </w:instrText>
      </w:r>
      <w:r w:rsidR="0082058A" w:rsidRPr="006131C1">
        <w:fldChar w:fldCharType="separate"/>
      </w:r>
      <w:r w:rsidR="00517F95">
        <w:rPr>
          <w:noProof/>
        </w:rPr>
        <w:t>203</w:t>
      </w:r>
      <w:r w:rsidR="0082058A" w:rsidRPr="006131C1">
        <w:fldChar w:fldCharType="end"/>
      </w:r>
      <w:r w:rsidR="00753F27" w:rsidRPr="006131C1">
        <w:t xml:space="preserve"> above)</w:t>
      </w:r>
      <w:r w:rsidR="003248CF" w:rsidRPr="006131C1">
        <w:t>. As with the first three applicants, t</w:t>
      </w:r>
      <w:r w:rsidR="00F90FED" w:rsidRPr="006131C1">
        <w:t>he</w:t>
      </w:r>
      <w:r w:rsidR="00886DD4" w:rsidRPr="006131C1">
        <w:t xml:space="preserve"> critical </w:t>
      </w:r>
      <w:r w:rsidR="00886DD4">
        <w:t>question</w:t>
      </w:r>
      <w:r w:rsidR="003248CF">
        <w:t xml:space="preserve"> </w:t>
      </w:r>
      <w:r w:rsidR="009F1BA4">
        <w:t>when</w:t>
      </w:r>
      <w:r w:rsidR="003248CF">
        <w:t xml:space="preserve"> establishing whether there has been a violat</w:t>
      </w:r>
      <w:r w:rsidR="009F1BA4">
        <w:t>ion of Article 6 §§ 1 and 3 (c)</w:t>
      </w:r>
      <w:r w:rsidR="00886DD4">
        <w:t xml:space="preserve"> is whether the </w:t>
      </w:r>
      <w:r w:rsidR="003248CF">
        <w:t xml:space="preserve">fourth </w:t>
      </w:r>
      <w:r w:rsidR="00886DD4">
        <w:t>applicant s</w:t>
      </w:r>
      <w:r w:rsidR="009F1BA4">
        <w:t xml:space="preserve">uffered </w:t>
      </w:r>
      <w:r w:rsidR="006131C1">
        <w:t>undue</w:t>
      </w:r>
      <w:r w:rsidR="009F1BA4">
        <w:t xml:space="preserve"> prejudice</w:t>
      </w:r>
      <w:r w:rsidR="00C10B84">
        <w:t>.</w:t>
      </w:r>
    </w:p>
    <w:p w:rsidR="00F3192B" w:rsidRPr="00047C68" w:rsidRDefault="00F3192B" w:rsidP="00047C68">
      <w:pPr>
        <w:pStyle w:val="ECHRHeading6"/>
        <w:rPr>
          <w:b/>
        </w:rPr>
      </w:pPr>
      <w:r w:rsidRPr="00047C68">
        <w:rPr>
          <w:b/>
        </w:rPr>
        <w:t>(α)</w:t>
      </w:r>
      <w:r w:rsidR="001928E7">
        <w:rPr>
          <w:b/>
        </w:rPr>
        <w:t>  </w:t>
      </w:r>
      <w:r w:rsidRPr="00047C68">
        <w:rPr>
          <w:b/>
        </w:rPr>
        <w:t>The general legislative framework</w:t>
      </w:r>
    </w:p>
    <w:bookmarkStart w:id="144" w:name="Lfourthappundueprejstart"/>
    <w:p w:rsidR="00F3192B" w:rsidRPr="00B248BA" w:rsidRDefault="00A41E8C" w:rsidP="00BE6067">
      <w:pPr>
        <w:pStyle w:val="JuPara"/>
      </w:pPr>
      <w:r w:rsidRPr="00B248BA">
        <w:fldChar w:fldCharType="begin"/>
      </w:r>
      <w:r w:rsidRPr="00B248BA">
        <w:instrText xml:space="preserve"> SEQ level0 \*arabic </w:instrText>
      </w:r>
      <w:r w:rsidRPr="00B248BA">
        <w:fldChar w:fldCharType="separate"/>
      </w:r>
      <w:r w:rsidR="00517F95">
        <w:rPr>
          <w:noProof/>
        </w:rPr>
        <w:t>215</w:t>
      </w:r>
      <w:r w:rsidRPr="00B248BA">
        <w:rPr>
          <w:noProof/>
          <w:lang w:eastAsia="fr-FR"/>
        </w:rPr>
        <w:fldChar w:fldCharType="end"/>
      </w:r>
      <w:bookmarkEnd w:id="144"/>
      <w:r w:rsidR="00EF66BC" w:rsidRPr="00B248BA">
        <w:t>.  </w:t>
      </w:r>
      <w:r w:rsidR="00C11E76" w:rsidRPr="00B248BA">
        <w:t xml:space="preserve">It is true that the guideline in Code of Practice C to the effect that a person suspected of involvement in a criminal offence should be cautioned before any further questions concerning the offence are put to him (see paragraph </w:t>
      </w:r>
      <w:r w:rsidR="00C11E76" w:rsidRPr="00B248BA">
        <w:fldChar w:fldCharType="begin"/>
      </w:r>
      <w:r w:rsidR="00C11E76" w:rsidRPr="00B248BA">
        <w:instrText xml:space="preserve"> REF CodeCobligationtocuationsuspect \h  \* MERGEFORMAT </w:instrText>
      </w:r>
      <w:r w:rsidR="00C11E76" w:rsidRPr="00B248BA">
        <w:fldChar w:fldCharType="separate"/>
      </w:r>
      <w:r w:rsidR="00517F95">
        <w:rPr>
          <w:noProof/>
        </w:rPr>
        <w:t>134</w:t>
      </w:r>
      <w:r w:rsidR="00C11E76" w:rsidRPr="00B248BA">
        <w:fldChar w:fldCharType="end"/>
      </w:r>
      <w:r w:rsidR="00C11E76" w:rsidRPr="00B248BA">
        <w:t xml:space="preserve"> above) was not followed in the case of the fourth applicant, as was accepted by the Government and the domestic courts. However, it is significant that there was a clear legislative framework in place to govern the admissibility, in any criminal proceedings subsequently brought, of evidence obtained during police questioning. In addition to the prohibition in section 76 PACE on admitting into evidence a confession obtained by oppression or one which was likely to be unreliable, the trial judge had discretion under section 78 PACE to refuse to admit evidence which he considered would have an adverse effect on the fairness of the proceedings (see paragraphs </w:t>
      </w:r>
      <w:r w:rsidR="00C11E76" w:rsidRPr="00B248BA">
        <w:fldChar w:fldCharType="begin"/>
      </w:r>
      <w:r w:rsidR="00C11E76" w:rsidRPr="00B248BA">
        <w:instrText xml:space="preserve"> REF PACEsection76 \h  \* MERGEFORMAT </w:instrText>
      </w:r>
      <w:r w:rsidR="00C11E76" w:rsidRPr="00B248BA">
        <w:fldChar w:fldCharType="separate"/>
      </w:r>
      <w:r w:rsidR="00517F95">
        <w:rPr>
          <w:noProof/>
        </w:rPr>
        <w:t>152</w:t>
      </w:r>
      <w:r w:rsidR="00C11E76" w:rsidRPr="00B248BA">
        <w:fldChar w:fldCharType="end"/>
      </w:r>
      <w:r w:rsidR="00C11E76" w:rsidRPr="00B248BA">
        <w:t>-</w:t>
      </w:r>
      <w:r w:rsidR="00C11E76" w:rsidRPr="00B248BA">
        <w:fldChar w:fldCharType="begin"/>
      </w:r>
      <w:r w:rsidR="00C11E76" w:rsidRPr="00B248BA">
        <w:instrText xml:space="preserve"> REF PACEsection78 \h  \* MERGEFORMAT </w:instrText>
      </w:r>
      <w:r w:rsidR="00C11E76" w:rsidRPr="00B248BA">
        <w:fldChar w:fldCharType="separate"/>
      </w:r>
      <w:r w:rsidR="00517F95">
        <w:rPr>
          <w:noProof/>
        </w:rPr>
        <w:t>154</w:t>
      </w:r>
      <w:r w:rsidR="00C11E76" w:rsidRPr="00B248BA">
        <w:fldChar w:fldCharType="end"/>
      </w:r>
      <w:r w:rsidR="00B359EE">
        <w:t xml:space="preserve"> above). </w:t>
      </w:r>
      <w:r w:rsidR="00C45FCA" w:rsidRPr="00B248BA">
        <w:t>The legislation was carefully applied by the trial judge in deciding the fourth applicant</w:t>
      </w:r>
      <w:r w:rsidR="005E7B7A">
        <w:t>’</w:t>
      </w:r>
      <w:r w:rsidR="00C45FCA" w:rsidRPr="00B248BA">
        <w:t>s challenge to the admissibility of his witness s</w:t>
      </w:r>
      <w:r w:rsidR="006A79F2" w:rsidRPr="00B248BA">
        <w:t>tatement (see further paragraph</w:t>
      </w:r>
      <w:r w:rsidR="00C45FCA" w:rsidRPr="00B248BA">
        <w:t xml:space="preserve"> </w:t>
      </w:r>
      <w:r w:rsidR="006A79F2" w:rsidRPr="00B248BA">
        <w:fldChar w:fldCharType="begin"/>
      </w:r>
      <w:r w:rsidR="006A79F2" w:rsidRPr="00B248BA">
        <w:instrText xml:space="preserve"> REF Lfourthapplicantposstochallenge \h </w:instrText>
      </w:r>
      <w:r w:rsidR="00E93ADC" w:rsidRPr="00B248BA">
        <w:instrText xml:space="preserve"> \* MERGEFORMAT </w:instrText>
      </w:r>
      <w:r w:rsidR="006A79F2" w:rsidRPr="00B248BA">
        <w:fldChar w:fldCharType="separate"/>
      </w:r>
      <w:r w:rsidR="00517F95">
        <w:rPr>
          <w:noProof/>
        </w:rPr>
        <w:t>222</w:t>
      </w:r>
      <w:r w:rsidR="006A79F2" w:rsidRPr="00B248BA">
        <w:fldChar w:fldCharType="end"/>
      </w:r>
      <w:r w:rsidR="006A79F2" w:rsidRPr="00B248BA">
        <w:t xml:space="preserve"> below)</w:t>
      </w:r>
      <w:r w:rsidR="00C45FCA" w:rsidRPr="00B248BA">
        <w:t>.</w:t>
      </w:r>
    </w:p>
    <w:p w:rsidR="00F3192B" w:rsidRPr="00EF66BC" w:rsidRDefault="00F3192B" w:rsidP="00EF66BC">
      <w:pPr>
        <w:pStyle w:val="ECHRHeading6"/>
        <w:rPr>
          <w:b/>
        </w:rPr>
      </w:pPr>
      <w:r w:rsidRPr="00EF66BC">
        <w:rPr>
          <w:b/>
        </w:rPr>
        <w:t>(β)</w:t>
      </w:r>
      <w:r w:rsidR="001928E7">
        <w:rPr>
          <w:b/>
        </w:rPr>
        <w:t>  </w:t>
      </w:r>
      <w:r w:rsidRPr="00EF66BC">
        <w:rPr>
          <w:b/>
        </w:rPr>
        <w:t>The quality of the evidence and the circumstances in which it was obtained</w:t>
      </w:r>
    </w:p>
    <w:p w:rsidR="00F3192B" w:rsidRDefault="00F3192B" w:rsidP="00F3192B">
      <w:pPr>
        <w:pStyle w:val="JuPara"/>
      </w:pPr>
      <w:r>
        <w:rPr>
          <w:snapToGrid w:val="0"/>
          <w:szCs w:val="24"/>
        </w:rPr>
        <w:fldChar w:fldCharType="begin"/>
      </w:r>
      <w:r>
        <w:rPr>
          <w:snapToGrid w:val="0"/>
          <w:szCs w:val="24"/>
        </w:rPr>
        <w:instrText xml:space="preserve"> SEQ level0 \*arabic </w:instrText>
      </w:r>
      <w:r>
        <w:rPr>
          <w:snapToGrid w:val="0"/>
          <w:szCs w:val="24"/>
        </w:rPr>
        <w:fldChar w:fldCharType="separate"/>
      </w:r>
      <w:r w:rsidR="00517F95">
        <w:rPr>
          <w:noProof/>
          <w:snapToGrid w:val="0"/>
          <w:szCs w:val="24"/>
        </w:rPr>
        <w:t>216</w:t>
      </w:r>
      <w:r>
        <w:rPr>
          <w:snapToGrid w:val="0"/>
          <w:szCs w:val="24"/>
        </w:rPr>
        <w:fldChar w:fldCharType="end"/>
      </w:r>
      <w:r>
        <w:rPr>
          <w:snapToGrid w:val="0"/>
          <w:szCs w:val="24"/>
        </w:rPr>
        <w:t>.  It is significant</w:t>
      </w:r>
      <w:r w:rsidR="00EF66BC">
        <w:rPr>
          <w:snapToGrid w:val="0"/>
          <w:szCs w:val="24"/>
        </w:rPr>
        <w:t xml:space="preserve"> </w:t>
      </w:r>
      <w:r>
        <w:rPr>
          <w:snapToGrid w:val="0"/>
          <w:szCs w:val="24"/>
        </w:rPr>
        <w:t>that the contents of the fourth applicant</w:t>
      </w:r>
      <w:r w:rsidR="005E7B7A">
        <w:rPr>
          <w:snapToGrid w:val="0"/>
          <w:szCs w:val="24"/>
        </w:rPr>
        <w:t>’</w:t>
      </w:r>
      <w:r>
        <w:rPr>
          <w:snapToGrid w:val="0"/>
          <w:szCs w:val="24"/>
        </w:rPr>
        <w:t>s witness statement support the contention that the police interview was not directed at establishing the extent of his own role in the commission of a criminal offence but at obtaining details about the terror plot and planning, identifying the alleged bombers and those who were providing them with assistance, and ascertaining the whereabouts of Mr Osman. The fourth applicant recounted his chance meeting with Mr Osman and the latter</w:t>
      </w:r>
      <w:r w:rsidR="005E7B7A">
        <w:rPr>
          <w:snapToGrid w:val="0"/>
          <w:szCs w:val="24"/>
        </w:rPr>
        <w:t>’</w:t>
      </w:r>
      <w:r>
        <w:rPr>
          <w:snapToGrid w:val="0"/>
          <w:szCs w:val="24"/>
        </w:rPr>
        <w:t xml:space="preserve">s claim to have been the fourth bomber (see paragraph </w:t>
      </w:r>
      <w:r>
        <w:rPr>
          <w:snapToGrid w:val="0"/>
          <w:szCs w:val="24"/>
        </w:rPr>
        <w:fldChar w:fldCharType="begin"/>
      </w:r>
      <w:r>
        <w:rPr>
          <w:snapToGrid w:val="0"/>
          <w:szCs w:val="24"/>
        </w:rPr>
        <w:instrText xml:space="preserve"> REF AbduWSmeeting \h </w:instrText>
      </w:r>
      <w:r>
        <w:rPr>
          <w:snapToGrid w:val="0"/>
          <w:szCs w:val="24"/>
        </w:rPr>
      </w:r>
      <w:r>
        <w:rPr>
          <w:snapToGrid w:val="0"/>
          <w:szCs w:val="24"/>
        </w:rPr>
        <w:fldChar w:fldCharType="separate"/>
      </w:r>
      <w:r w:rsidR="00517F95">
        <w:rPr>
          <w:noProof/>
        </w:rPr>
        <w:t>105</w:t>
      </w:r>
      <w:r>
        <w:rPr>
          <w:snapToGrid w:val="0"/>
          <w:szCs w:val="24"/>
        </w:rPr>
        <w:fldChar w:fldCharType="end"/>
      </w:r>
      <w:r>
        <w:rPr>
          <w:snapToGrid w:val="0"/>
          <w:szCs w:val="24"/>
        </w:rPr>
        <w:t xml:space="preserve"> above). He provided details of how long Mr Osman had stayed with him and where he had spent the two nights following the bombing (see paragraphs </w:t>
      </w:r>
      <w:r>
        <w:rPr>
          <w:snapToGrid w:val="0"/>
          <w:szCs w:val="24"/>
        </w:rPr>
        <w:fldChar w:fldCharType="begin"/>
      </w:r>
      <w:r>
        <w:rPr>
          <w:snapToGrid w:val="0"/>
          <w:szCs w:val="24"/>
        </w:rPr>
        <w:instrText xml:space="preserve"> REF AbduWSmeeting \h </w:instrText>
      </w:r>
      <w:r>
        <w:rPr>
          <w:snapToGrid w:val="0"/>
          <w:szCs w:val="24"/>
        </w:rPr>
      </w:r>
      <w:r>
        <w:rPr>
          <w:snapToGrid w:val="0"/>
          <w:szCs w:val="24"/>
        </w:rPr>
        <w:fldChar w:fldCharType="separate"/>
      </w:r>
      <w:r w:rsidR="00517F95">
        <w:rPr>
          <w:noProof/>
        </w:rPr>
        <w:t>105</w:t>
      </w:r>
      <w:r>
        <w:rPr>
          <w:snapToGrid w:val="0"/>
          <w:szCs w:val="24"/>
        </w:rPr>
        <w:fldChar w:fldCharType="end"/>
      </w:r>
      <w:r>
        <w:rPr>
          <w:snapToGrid w:val="0"/>
          <w:szCs w:val="24"/>
        </w:rPr>
        <w:t>-</w:t>
      </w:r>
      <w:r>
        <w:rPr>
          <w:snapToGrid w:val="0"/>
          <w:szCs w:val="24"/>
        </w:rPr>
        <w:fldChar w:fldCharType="begin"/>
      </w:r>
      <w:r>
        <w:rPr>
          <w:snapToGrid w:val="0"/>
          <w:szCs w:val="24"/>
        </w:rPr>
        <w:instrText xml:space="preserve"> REF AbduWSthighinjury \h </w:instrText>
      </w:r>
      <w:r>
        <w:rPr>
          <w:snapToGrid w:val="0"/>
          <w:szCs w:val="24"/>
        </w:rPr>
      </w:r>
      <w:r>
        <w:rPr>
          <w:snapToGrid w:val="0"/>
          <w:szCs w:val="24"/>
        </w:rPr>
        <w:fldChar w:fldCharType="separate"/>
      </w:r>
      <w:r w:rsidR="00517F95">
        <w:rPr>
          <w:noProof/>
        </w:rPr>
        <w:t>106</w:t>
      </w:r>
      <w:r>
        <w:rPr>
          <w:snapToGrid w:val="0"/>
          <w:szCs w:val="24"/>
        </w:rPr>
        <w:fldChar w:fldCharType="end"/>
      </w:r>
      <w:r>
        <w:rPr>
          <w:snapToGrid w:val="0"/>
          <w:szCs w:val="24"/>
        </w:rPr>
        <w:t xml:space="preserve"> above). He narrated the content of his conversations with Mr Osman concerning the planning of the bombings and the identities of the other bombers (see paragraph </w:t>
      </w:r>
      <w:r>
        <w:rPr>
          <w:snapToGrid w:val="0"/>
          <w:szCs w:val="24"/>
        </w:rPr>
        <w:fldChar w:fldCharType="begin"/>
      </w:r>
      <w:r>
        <w:rPr>
          <w:snapToGrid w:val="0"/>
          <w:szCs w:val="24"/>
        </w:rPr>
        <w:instrText xml:space="preserve"> REF AbduWSthighinjury \h </w:instrText>
      </w:r>
      <w:r>
        <w:rPr>
          <w:snapToGrid w:val="0"/>
          <w:szCs w:val="24"/>
        </w:rPr>
      </w:r>
      <w:r>
        <w:rPr>
          <w:snapToGrid w:val="0"/>
          <w:szCs w:val="24"/>
        </w:rPr>
        <w:fldChar w:fldCharType="separate"/>
      </w:r>
      <w:r w:rsidR="00517F95">
        <w:rPr>
          <w:noProof/>
        </w:rPr>
        <w:t>106</w:t>
      </w:r>
      <w:r>
        <w:rPr>
          <w:snapToGrid w:val="0"/>
          <w:szCs w:val="24"/>
        </w:rPr>
        <w:fldChar w:fldCharType="end"/>
      </w:r>
      <w:r>
        <w:rPr>
          <w:snapToGrid w:val="0"/>
          <w:szCs w:val="24"/>
        </w:rPr>
        <w:t>-</w:t>
      </w:r>
      <w:r>
        <w:rPr>
          <w:snapToGrid w:val="0"/>
          <w:szCs w:val="24"/>
        </w:rPr>
        <w:fldChar w:fldCharType="begin"/>
      </w:r>
      <w:r>
        <w:rPr>
          <w:snapToGrid w:val="0"/>
          <w:szCs w:val="24"/>
        </w:rPr>
        <w:instrText xml:space="preserve"> REF AbduWSbombmaking \h </w:instrText>
      </w:r>
      <w:r>
        <w:rPr>
          <w:snapToGrid w:val="0"/>
          <w:szCs w:val="24"/>
        </w:rPr>
      </w:r>
      <w:r>
        <w:rPr>
          <w:snapToGrid w:val="0"/>
          <w:szCs w:val="24"/>
        </w:rPr>
        <w:fldChar w:fldCharType="separate"/>
      </w:r>
      <w:r w:rsidR="00517F95">
        <w:rPr>
          <w:noProof/>
        </w:rPr>
        <w:t>107</w:t>
      </w:r>
      <w:r>
        <w:rPr>
          <w:snapToGrid w:val="0"/>
          <w:szCs w:val="24"/>
        </w:rPr>
        <w:fldChar w:fldCharType="end"/>
      </w:r>
      <w:r>
        <w:rPr>
          <w:snapToGrid w:val="0"/>
          <w:szCs w:val="24"/>
        </w:rPr>
        <w:t xml:space="preserve"> above). He was asked by the police to examine photographs of the suspected bombers and confirm their identities (see paragraph </w:t>
      </w:r>
      <w:r>
        <w:rPr>
          <w:snapToGrid w:val="0"/>
          <w:szCs w:val="24"/>
        </w:rPr>
        <w:fldChar w:fldCharType="begin"/>
      </w:r>
      <w:r>
        <w:rPr>
          <w:snapToGrid w:val="0"/>
          <w:szCs w:val="24"/>
        </w:rPr>
        <w:instrText xml:space="preserve"> REF AbduWSthighinjury \h </w:instrText>
      </w:r>
      <w:r>
        <w:rPr>
          <w:snapToGrid w:val="0"/>
          <w:szCs w:val="24"/>
        </w:rPr>
      </w:r>
      <w:r>
        <w:rPr>
          <w:snapToGrid w:val="0"/>
          <w:szCs w:val="24"/>
        </w:rPr>
        <w:fldChar w:fldCharType="separate"/>
      </w:r>
      <w:r w:rsidR="00517F95">
        <w:rPr>
          <w:noProof/>
        </w:rPr>
        <w:t>106</w:t>
      </w:r>
      <w:r>
        <w:rPr>
          <w:snapToGrid w:val="0"/>
          <w:szCs w:val="24"/>
        </w:rPr>
        <w:fldChar w:fldCharType="end"/>
      </w:r>
      <w:r>
        <w:rPr>
          <w:snapToGrid w:val="0"/>
          <w:szCs w:val="24"/>
        </w:rPr>
        <w:t xml:space="preserve"> above). He prov</w:t>
      </w:r>
      <w:r w:rsidR="00B34516">
        <w:rPr>
          <w:snapToGrid w:val="0"/>
          <w:szCs w:val="24"/>
        </w:rPr>
        <w:t>ided information about where Mr </w:t>
      </w:r>
      <w:r>
        <w:rPr>
          <w:snapToGrid w:val="0"/>
          <w:szCs w:val="24"/>
        </w:rPr>
        <w:t xml:space="preserve">Osman had gone after leaving the London flat (see paragraph </w:t>
      </w:r>
      <w:r>
        <w:rPr>
          <w:snapToGrid w:val="0"/>
          <w:szCs w:val="24"/>
        </w:rPr>
        <w:fldChar w:fldCharType="begin"/>
      </w:r>
      <w:r>
        <w:rPr>
          <w:snapToGrid w:val="0"/>
          <w:szCs w:val="24"/>
        </w:rPr>
        <w:instrText xml:space="preserve"> REF AbduWSdeparture \h </w:instrText>
      </w:r>
      <w:r>
        <w:rPr>
          <w:snapToGrid w:val="0"/>
          <w:szCs w:val="24"/>
        </w:rPr>
      </w:r>
      <w:r>
        <w:rPr>
          <w:snapToGrid w:val="0"/>
          <w:szCs w:val="24"/>
        </w:rPr>
        <w:fldChar w:fldCharType="separate"/>
      </w:r>
      <w:r w:rsidR="00517F95">
        <w:rPr>
          <w:noProof/>
        </w:rPr>
        <w:t>108</w:t>
      </w:r>
      <w:r>
        <w:rPr>
          <w:snapToGrid w:val="0"/>
          <w:szCs w:val="24"/>
        </w:rPr>
        <w:fldChar w:fldCharType="end"/>
      </w:r>
      <w:r>
        <w:rPr>
          <w:snapToGrid w:val="0"/>
          <w:szCs w:val="24"/>
        </w:rPr>
        <w:t xml:space="preserve"> above). He described Mr Osman</w:t>
      </w:r>
      <w:r w:rsidR="005E7B7A">
        <w:rPr>
          <w:snapToGrid w:val="0"/>
          <w:szCs w:val="24"/>
        </w:rPr>
        <w:t>’</w:t>
      </w:r>
      <w:r>
        <w:rPr>
          <w:snapToGrid w:val="0"/>
          <w:szCs w:val="24"/>
        </w:rPr>
        <w:t xml:space="preserve">s wife and showed police officers where he believed that Mr Osman and his family lived (see paragraphs </w:t>
      </w:r>
      <w:r>
        <w:rPr>
          <w:snapToGrid w:val="0"/>
          <w:szCs w:val="24"/>
        </w:rPr>
        <w:fldChar w:fldCharType="begin"/>
      </w:r>
      <w:r>
        <w:rPr>
          <w:snapToGrid w:val="0"/>
          <w:szCs w:val="24"/>
        </w:rPr>
        <w:instrText xml:space="preserve"> REF fourthapplicantaddress \h </w:instrText>
      </w:r>
      <w:r>
        <w:rPr>
          <w:snapToGrid w:val="0"/>
          <w:szCs w:val="24"/>
        </w:rPr>
      </w:r>
      <w:r>
        <w:rPr>
          <w:snapToGrid w:val="0"/>
          <w:szCs w:val="24"/>
        </w:rPr>
        <w:fldChar w:fldCharType="separate"/>
      </w:r>
      <w:r w:rsidR="00517F95">
        <w:rPr>
          <w:noProof/>
        </w:rPr>
        <w:t>103</w:t>
      </w:r>
      <w:r>
        <w:rPr>
          <w:snapToGrid w:val="0"/>
          <w:szCs w:val="24"/>
        </w:rPr>
        <w:fldChar w:fldCharType="end"/>
      </w:r>
      <w:r>
        <w:rPr>
          <w:snapToGrid w:val="0"/>
          <w:szCs w:val="24"/>
        </w:rPr>
        <w:t xml:space="preserve"> and </w:t>
      </w:r>
      <w:r>
        <w:rPr>
          <w:snapToGrid w:val="0"/>
          <w:szCs w:val="24"/>
        </w:rPr>
        <w:fldChar w:fldCharType="begin"/>
      </w:r>
      <w:r>
        <w:rPr>
          <w:snapToGrid w:val="0"/>
          <w:szCs w:val="24"/>
        </w:rPr>
        <w:instrText xml:space="preserve"> REF AbduWSosmanwife \h </w:instrText>
      </w:r>
      <w:r>
        <w:rPr>
          <w:snapToGrid w:val="0"/>
          <w:szCs w:val="24"/>
        </w:rPr>
      </w:r>
      <w:r>
        <w:rPr>
          <w:snapToGrid w:val="0"/>
          <w:szCs w:val="24"/>
        </w:rPr>
        <w:fldChar w:fldCharType="separate"/>
      </w:r>
      <w:r w:rsidR="00517F95">
        <w:rPr>
          <w:noProof/>
        </w:rPr>
        <w:t>109</w:t>
      </w:r>
      <w:r>
        <w:rPr>
          <w:snapToGrid w:val="0"/>
          <w:szCs w:val="24"/>
        </w:rPr>
        <w:fldChar w:fldCharType="end"/>
      </w:r>
      <w:r>
        <w:rPr>
          <w:snapToGrid w:val="0"/>
          <w:szCs w:val="24"/>
        </w:rPr>
        <w:t xml:space="preserve"> above). All this information was of key importance to the public safety issues at stake at this stage in the police investigation, as it provided intelligence to the police as to the nature of the plot and the identities and whereabouts of some of the central participants. The information was all the more important since, at that time, of the attempted bombers only Mr Omar had been arrested and he had claimed not to know the identities of any of the suspects or to have any information concerning the attacks (see paragraph </w:t>
      </w:r>
      <w:r>
        <w:rPr>
          <w:snapToGrid w:val="0"/>
          <w:szCs w:val="24"/>
        </w:rPr>
        <w:fldChar w:fldCharType="begin"/>
      </w:r>
      <w:r>
        <w:rPr>
          <w:snapToGrid w:val="0"/>
          <w:szCs w:val="24"/>
        </w:rPr>
        <w:instrText xml:space="preserve"> REF OmarSIstatements \h </w:instrText>
      </w:r>
      <w:r>
        <w:rPr>
          <w:snapToGrid w:val="0"/>
          <w:szCs w:val="24"/>
        </w:rPr>
      </w:r>
      <w:r>
        <w:rPr>
          <w:snapToGrid w:val="0"/>
          <w:szCs w:val="24"/>
        </w:rPr>
        <w:fldChar w:fldCharType="separate"/>
      </w:r>
      <w:r w:rsidR="00517F95">
        <w:rPr>
          <w:noProof/>
        </w:rPr>
        <w:t>27</w:t>
      </w:r>
      <w:r>
        <w:rPr>
          <w:snapToGrid w:val="0"/>
          <w:szCs w:val="24"/>
        </w:rPr>
        <w:fldChar w:fldCharType="end"/>
      </w:r>
      <w:r w:rsidR="00C10B84">
        <w:rPr>
          <w:snapToGrid w:val="0"/>
          <w:szCs w:val="24"/>
        </w:rPr>
        <w:t xml:space="preserve"> above).</w:t>
      </w:r>
    </w:p>
    <w:p w:rsidR="00F3192B" w:rsidRDefault="00F3192B" w:rsidP="00F3192B">
      <w:pPr>
        <w:pStyle w:val="JuPara"/>
        <w:rPr>
          <w:snapToGrid w:val="0"/>
          <w:szCs w:val="24"/>
        </w:rPr>
      </w:pPr>
      <w:r>
        <w:rPr>
          <w:snapToGrid w:val="0"/>
          <w:szCs w:val="24"/>
        </w:rPr>
        <w:fldChar w:fldCharType="begin"/>
      </w:r>
      <w:r>
        <w:rPr>
          <w:snapToGrid w:val="0"/>
          <w:szCs w:val="24"/>
        </w:rPr>
        <w:instrText xml:space="preserve"> SEQ level0 \*arabic </w:instrText>
      </w:r>
      <w:r>
        <w:rPr>
          <w:snapToGrid w:val="0"/>
          <w:szCs w:val="24"/>
        </w:rPr>
        <w:fldChar w:fldCharType="separate"/>
      </w:r>
      <w:r w:rsidR="00517F95">
        <w:rPr>
          <w:noProof/>
          <w:snapToGrid w:val="0"/>
          <w:szCs w:val="24"/>
        </w:rPr>
        <w:t>217</w:t>
      </w:r>
      <w:r>
        <w:rPr>
          <w:snapToGrid w:val="0"/>
          <w:szCs w:val="24"/>
        </w:rPr>
        <w:fldChar w:fldCharType="end"/>
      </w:r>
      <w:r>
        <w:rPr>
          <w:snapToGrid w:val="0"/>
          <w:szCs w:val="24"/>
        </w:rPr>
        <w:t>.  It is also noteworthy that the witness statement itself, although it became self-incriminating after some time into the interview, was also self-exculpatory. The fourth applicant emphasised the unexpected nature of his encounter with Mr Osman at Clapham Junction train station; his complete ignorance at that time of Mr Osman</w:t>
      </w:r>
      <w:r w:rsidR="005E7B7A">
        <w:rPr>
          <w:snapToGrid w:val="0"/>
          <w:szCs w:val="24"/>
        </w:rPr>
        <w:t>’</w:t>
      </w:r>
      <w:r>
        <w:rPr>
          <w:snapToGrid w:val="0"/>
          <w:szCs w:val="24"/>
        </w:rPr>
        <w:t xml:space="preserve">s involvement in the attempted bombings; his failure to believe Mr Osman when he claimed to have participated in the attempted bombings; the </w:t>
      </w:r>
      <w:r w:rsidR="00B359EE">
        <w:rPr>
          <w:snapToGrid w:val="0"/>
          <w:szCs w:val="24"/>
        </w:rPr>
        <w:t>impossibility of recognising Mr</w:t>
      </w:r>
      <w:r>
        <w:rPr>
          <w:snapToGrid w:val="0"/>
          <w:szCs w:val="24"/>
        </w:rPr>
        <w:t xml:space="preserve"> Osman in photographs on the television and in the newspapers; his fear for his personal safety which led him to agree, albeit reluctantly, to allow Mr Osman to stay with him for a few days; and his relief and cutting of contact once Mr Osman had left (see paragraphs </w:t>
      </w:r>
      <w:r>
        <w:rPr>
          <w:snapToGrid w:val="0"/>
          <w:szCs w:val="24"/>
        </w:rPr>
        <w:fldChar w:fldCharType="begin"/>
      </w:r>
      <w:r>
        <w:rPr>
          <w:snapToGrid w:val="0"/>
          <w:szCs w:val="24"/>
        </w:rPr>
        <w:instrText xml:space="preserve"> REF AbduWSmeeting \h </w:instrText>
      </w:r>
      <w:r>
        <w:rPr>
          <w:snapToGrid w:val="0"/>
          <w:szCs w:val="24"/>
        </w:rPr>
      </w:r>
      <w:r>
        <w:rPr>
          <w:snapToGrid w:val="0"/>
          <w:szCs w:val="24"/>
        </w:rPr>
        <w:fldChar w:fldCharType="separate"/>
      </w:r>
      <w:r w:rsidR="00517F95">
        <w:rPr>
          <w:noProof/>
        </w:rPr>
        <w:t>105</w:t>
      </w:r>
      <w:r>
        <w:rPr>
          <w:snapToGrid w:val="0"/>
          <w:szCs w:val="24"/>
        </w:rPr>
        <w:fldChar w:fldCharType="end"/>
      </w:r>
      <w:r>
        <w:rPr>
          <w:snapToGrid w:val="0"/>
          <w:szCs w:val="24"/>
        </w:rPr>
        <w:t>-</w:t>
      </w:r>
      <w:r>
        <w:rPr>
          <w:snapToGrid w:val="0"/>
          <w:szCs w:val="24"/>
        </w:rPr>
        <w:fldChar w:fldCharType="begin"/>
      </w:r>
      <w:r>
        <w:rPr>
          <w:snapToGrid w:val="0"/>
          <w:szCs w:val="24"/>
        </w:rPr>
        <w:instrText xml:space="preserve"> REF AbduWSdeparture \h </w:instrText>
      </w:r>
      <w:r>
        <w:rPr>
          <w:snapToGrid w:val="0"/>
          <w:szCs w:val="24"/>
        </w:rPr>
      </w:r>
      <w:r>
        <w:rPr>
          <w:snapToGrid w:val="0"/>
          <w:szCs w:val="24"/>
        </w:rPr>
        <w:fldChar w:fldCharType="separate"/>
      </w:r>
      <w:r w:rsidR="00517F95">
        <w:rPr>
          <w:noProof/>
        </w:rPr>
        <w:t>108</w:t>
      </w:r>
      <w:r>
        <w:rPr>
          <w:snapToGrid w:val="0"/>
          <w:szCs w:val="24"/>
        </w:rPr>
        <w:fldChar w:fldCharType="end"/>
      </w:r>
      <w:r>
        <w:rPr>
          <w:snapToGrid w:val="0"/>
          <w:szCs w:val="24"/>
        </w:rPr>
        <w:t xml:space="preserve"> above). Most of the factual elements of the fourth applicant</w:t>
      </w:r>
      <w:r w:rsidR="005E7B7A">
        <w:rPr>
          <w:snapToGrid w:val="0"/>
          <w:szCs w:val="24"/>
        </w:rPr>
        <w:t>’</w:t>
      </w:r>
      <w:r>
        <w:rPr>
          <w:snapToGrid w:val="0"/>
          <w:szCs w:val="24"/>
        </w:rPr>
        <w:t xml:space="preserve">s account could be, and ultimately were, corroborated by surveillance records, fingerprint evidence, mobile phone data and cellsite records and the evidence of Mr Osman himself (see paragraphs </w:t>
      </w:r>
      <w:r>
        <w:rPr>
          <w:snapToGrid w:val="0"/>
          <w:szCs w:val="24"/>
        </w:rPr>
        <w:fldChar w:fldCharType="begin"/>
      </w:r>
      <w:r>
        <w:rPr>
          <w:snapToGrid w:val="0"/>
          <w:szCs w:val="24"/>
        </w:rPr>
        <w:instrText xml:space="preserve"> REF fourthapplicanttrialotherevidence \h </w:instrText>
      </w:r>
      <w:r>
        <w:rPr>
          <w:snapToGrid w:val="0"/>
          <w:szCs w:val="24"/>
        </w:rPr>
      </w:r>
      <w:r>
        <w:rPr>
          <w:snapToGrid w:val="0"/>
          <w:szCs w:val="24"/>
        </w:rPr>
        <w:fldChar w:fldCharType="separate"/>
      </w:r>
      <w:r w:rsidR="00517F95">
        <w:rPr>
          <w:noProof/>
        </w:rPr>
        <w:t>121</w:t>
      </w:r>
      <w:r>
        <w:rPr>
          <w:snapToGrid w:val="0"/>
          <w:szCs w:val="24"/>
        </w:rPr>
        <w:fldChar w:fldCharType="end"/>
      </w:r>
      <w:r>
        <w:rPr>
          <w:snapToGrid w:val="0"/>
          <w:szCs w:val="24"/>
        </w:rPr>
        <w:t xml:space="preserve"> and </w:t>
      </w:r>
      <w:r>
        <w:rPr>
          <w:snapToGrid w:val="0"/>
          <w:szCs w:val="24"/>
        </w:rPr>
        <w:fldChar w:fldCharType="begin"/>
      </w:r>
      <w:r>
        <w:rPr>
          <w:snapToGrid w:val="0"/>
          <w:szCs w:val="24"/>
        </w:rPr>
        <w:instrText xml:space="preserve"> REF AbdutrialSherifandOsmanev \h </w:instrText>
      </w:r>
      <w:r>
        <w:rPr>
          <w:snapToGrid w:val="0"/>
          <w:szCs w:val="24"/>
        </w:rPr>
      </w:r>
      <w:r>
        <w:rPr>
          <w:snapToGrid w:val="0"/>
          <w:szCs w:val="24"/>
        </w:rPr>
        <w:fldChar w:fldCharType="separate"/>
      </w:r>
      <w:r w:rsidR="00517F95">
        <w:rPr>
          <w:noProof/>
        </w:rPr>
        <w:t>125</w:t>
      </w:r>
      <w:r>
        <w:rPr>
          <w:snapToGrid w:val="0"/>
          <w:szCs w:val="24"/>
        </w:rPr>
        <w:fldChar w:fldCharType="end"/>
      </w:r>
      <w:r>
        <w:rPr>
          <w:snapToGrid w:val="0"/>
          <w:szCs w:val="24"/>
        </w:rPr>
        <w:t xml:space="preserve"> above). Further, the fourth applicant</w:t>
      </w:r>
      <w:r w:rsidR="005E7B7A">
        <w:rPr>
          <w:snapToGrid w:val="0"/>
          <w:szCs w:val="24"/>
        </w:rPr>
        <w:t>’</w:t>
      </w:r>
      <w:r>
        <w:rPr>
          <w:snapToGrid w:val="0"/>
          <w:szCs w:val="24"/>
        </w:rPr>
        <w:t xml:space="preserve">s account of the assistance given to Mr Osman was limited to the admission that he had provided shelter and clothing (see paragraphs </w:t>
      </w:r>
      <w:r>
        <w:rPr>
          <w:snapToGrid w:val="0"/>
          <w:szCs w:val="24"/>
        </w:rPr>
        <w:fldChar w:fldCharType="begin"/>
      </w:r>
      <w:r>
        <w:rPr>
          <w:snapToGrid w:val="0"/>
          <w:szCs w:val="24"/>
        </w:rPr>
        <w:instrText xml:space="preserve"> REF AbduWSmeeting \h </w:instrText>
      </w:r>
      <w:r>
        <w:rPr>
          <w:snapToGrid w:val="0"/>
          <w:szCs w:val="24"/>
        </w:rPr>
      </w:r>
      <w:r>
        <w:rPr>
          <w:snapToGrid w:val="0"/>
          <w:szCs w:val="24"/>
        </w:rPr>
        <w:fldChar w:fldCharType="separate"/>
      </w:r>
      <w:r w:rsidR="00517F95">
        <w:rPr>
          <w:noProof/>
        </w:rPr>
        <w:t>105</w:t>
      </w:r>
      <w:r>
        <w:rPr>
          <w:snapToGrid w:val="0"/>
          <w:szCs w:val="24"/>
        </w:rPr>
        <w:fldChar w:fldCharType="end"/>
      </w:r>
      <w:r>
        <w:rPr>
          <w:snapToGrid w:val="0"/>
          <w:szCs w:val="24"/>
        </w:rPr>
        <w:t xml:space="preserve"> and </w:t>
      </w:r>
      <w:r>
        <w:rPr>
          <w:snapToGrid w:val="0"/>
          <w:szCs w:val="24"/>
        </w:rPr>
        <w:fldChar w:fldCharType="begin"/>
      </w:r>
      <w:r>
        <w:rPr>
          <w:snapToGrid w:val="0"/>
          <w:szCs w:val="24"/>
        </w:rPr>
        <w:instrText xml:space="preserve"> REF AbduWSbombmaking \h </w:instrText>
      </w:r>
      <w:r>
        <w:rPr>
          <w:snapToGrid w:val="0"/>
          <w:szCs w:val="24"/>
        </w:rPr>
      </w:r>
      <w:r>
        <w:rPr>
          <w:snapToGrid w:val="0"/>
          <w:szCs w:val="24"/>
        </w:rPr>
        <w:fldChar w:fldCharType="separate"/>
      </w:r>
      <w:r w:rsidR="00517F95">
        <w:rPr>
          <w:noProof/>
        </w:rPr>
        <w:t>107</w:t>
      </w:r>
      <w:r>
        <w:rPr>
          <w:snapToGrid w:val="0"/>
          <w:szCs w:val="24"/>
        </w:rPr>
        <w:fldChar w:fldCharType="end"/>
      </w:r>
      <w:r>
        <w:rPr>
          <w:snapToGrid w:val="0"/>
          <w:szCs w:val="24"/>
        </w:rPr>
        <w:t xml:space="preserve"> above). He omitted to mention that he had met with Mr Sherif to collect a passport and with another of his co-defendants to collect the video camera used to film the suicide messages. The collection of the passport in particular greatly facilitated Mr</w:t>
      </w:r>
      <w:r w:rsidR="00C10B84">
        <w:rPr>
          <w:snapToGrid w:val="0"/>
          <w:szCs w:val="24"/>
        </w:rPr>
        <w:t xml:space="preserve"> </w:t>
      </w:r>
      <w:r>
        <w:rPr>
          <w:snapToGrid w:val="0"/>
          <w:szCs w:val="24"/>
        </w:rPr>
        <w:t>Osman</w:t>
      </w:r>
      <w:r w:rsidR="005E7B7A">
        <w:rPr>
          <w:snapToGrid w:val="0"/>
          <w:szCs w:val="24"/>
        </w:rPr>
        <w:t>’</w:t>
      </w:r>
      <w:r>
        <w:rPr>
          <w:snapToGrid w:val="0"/>
          <w:szCs w:val="24"/>
        </w:rPr>
        <w:t>s escape from the United Kingdom and showed the critical practical assistance that the fourth applicant had provided but not reco</w:t>
      </w:r>
      <w:r w:rsidR="00C10B84">
        <w:rPr>
          <w:snapToGrid w:val="0"/>
          <w:szCs w:val="24"/>
        </w:rPr>
        <w:t>unted in his witness statement.</w:t>
      </w:r>
    </w:p>
    <w:bookmarkStart w:id="145" w:name="Lvolattendance"/>
    <w:p w:rsidR="00F3192B" w:rsidRPr="000A5447" w:rsidRDefault="00F3192B" w:rsidP="00F3192B">
      <w:pPr>
        <w:pStyle w:val="JuPara"/>
      </w:pPr>
      <w:r>
        <w:fldChar w:fldCharType="begin"/>
      </w:r>
      <w:r>
        <w:instrText xml:space="preserve"> SEQ level0 \*arabic </w:instrText>
      </w:r>
      <w:r>
        <w:fldChar w:fldCharType="separate"/>
      </w:r>
      <w:r w:rsidR="00517F95">
        <w:rPr>
          <w:noProof/>
        </w:rPr>
        <w:t>218</w:t>
      </w:r>
      <w:r>
        <w:rPr>
          <w:noProof/>
        </w:rPr>
        <w:fldChar w:fldCharType="end"/>
      </w:r>
      <w:bookmarkEnd w:id="145"/>
      <w:r>
        <w:t xml:space="preserve">.  It is further of relevance that there was no coercion of the fourth applicant in the sense that he was not forced to incriminate himself. In this context, it is significant that the fourth applicant had agreed to assist the police and had attended the police station voluntarily (see paragraph </w:t>
      </w:r>
      <w:r>
        <w:fldChar w:fldCharType="begin"/>
      </w:r>
      <w:r>
        <w:instrText xml:space="preserve"> REF Abduvoluntarypolicestation \h </w:instrText>
      </w:r>
      <w:r>
        <w:fldChar w:fldCharType="separate"/>
      </w:r>
      <w:r w:rsidR="00517F95">
        <w:rPr>
          <w:noProof/>
        </w:rPr>
        <w:t>101</w:t>
      </w:r>
      <w:r>
        <w:fldChar w:fldCharType="end"/>
      </w:r>
      <w:r>
        <w:t xml:space="preserve"> above). He was questioned not as a suspect but as a witness and was free to leave at any time. There was accordingly no significant curtailment of the applicant</w:t>
      </w:r>
      <w:r w:rsidR="005E7B7A">
        <w:t>’</w:t>
      </w:r>
      <w:r>
        <w:t xml:space="preserve">s freedom of action (see </w:t>
      </w:r>
      <w:r w:rsidRPr="00A52895">
        <w:rPr>
          <w:i/>
        </w:rPr>
        <w:t>Alexander Zaichenko</w:t>
      </w:r>
      <w:r w:rsidR="00B34516">
        <w:t>, cited above, §§ 48</w:t>
      </w:r>
      <w:r w:rsidR="00B34516">
        <w:noBreakHyphen/>
      </w:r>
      <w:r>
        <w:t xml:space="preserve">51; and </w:t>
      </w:r>
      <w:r w:rsidRPr="00BF209B">
        <w:rPr>
          <w:i/>
        </w:rPr>
        <w:t>Bandaletov</w:t>
      </w:r>
      <w:r w:rsidR="00C10B84">
        <w:t xml:space="preserve">, cited above, §§ 61-62). </w:t>
      </w:r>
      <w:r>
        <w:t xml:space="preserve">This conclusion is not undermined by </w:t>
      </w:r>
      <w:r w:rsidRPr="000A5447">
        <w:t>the possibility that, had he tried to leave the police station after he had begun to discuss his role in sheltering Mr Osman, he might have been arrested. Until such an arrest took place, his formal position as a witness, and not a suspect, dictated the manner and circumstances in which the statement was taken. Concerns regarding the potentially coercive conditions of police interrogation and the vulnerability of suspects</w:t>
      </w:r>
      <w:r w:rsidR="003D1EB5">
        <w:t>, adverted to in the Court</w:t>
      </w:r>
      <w:r w:rsidR="005E7B7A">
        <w:t>’</w:t>
      </w:r>
      <w:r w:rsidR="003D1EB5">
        <w:t xml:space="preserve">s case-law as being relevant in this context (see paragraphs </w:t>
      </w:r>
      <w:r w:rsidR="003D1EB5">
        <w:fldChar w:fldCharType="begin"/>
      </w:r>
      <w:r w:rsidR="003D1EB5">
        <w:instrText xml:space="preserve"> REF L192coercion \h </w:instrText>
      </w:r>
      <w:r w:rsidR="003D1EB5">
        <w:fldChar w:fldCharType="separate"/>
      </w:r>
      <w:r w:rsidR="00517F95">
        <w:rPr>
          <w:noProof/>
          <w:szCs w:val="24"/>
        </w:rPr>
        <w:t>192</w:t>
      </w:r>
      <w:r w:rsidR="003D1EB5">
        <w:fldChar w:fldCharType="end"/>
      </w:r>
      <w:r w:rsidR="003D1EB5">
        <w:t xml:space="preserve"> and </w:t>
      </w:r>
      <w:r w:rsidR="003D1EB5">
        <w:fldChar w:fldCharType="begin"/>
      </w:r>
      <w:r w:rsidR="003D1EB5">
        <w:instrText xml:space="preserve"> REF Lfactors \h </w:instrText>
      </w:r>
      <w:r w:rsidR="003D1EB5">
        <w:fldChar w:fldCharType="separate"/>
      </w:r>
      <w:r w:rsidR="00517F95">
        <w:rPr>
          <w:rStyle w:val="sb8d990e2"/>
          <w:noProof/>
        </w:rPr>
        <w:t>196</w:t>
      </w:r>
      <w:r w:rsidR="003D1EB5">
        <w:fldChar w:fldCharType="end"/>
      </w:r>
      <w:r w:rsidR="003D1EB5">
        <w:t>(b) above above)</w:t>
      </w:r>
      <w:r w:rsidRPr="000A5447">
        <w:t xml:space="preserve"> did not arise. As a consequence, </w:t>
      </w:r>
      <w:r w:rsidR="003D1EB5">
        <w:t xml:space="preserve">and as the domestic courts found, </w:t>
      </w:r>
      <w:r w:rsidRPr="000A5447">
        <w:t xml:space="preserve">there was nothing to indicate that the witness statement was, or might be, unreliable (see paragraphs </w:t>
      </w:r>
      <w:r w:rsidRPr="000A5447">
        <w:fldChar w:fldCharType="begin"/>
      </w:r>
      <w:r w:rsidRPr="000A5447">
        <w:instrText xml:space="preserve"> REF F4thapprulingnooppression \h </w:instrText>
      </w:r>
      <w:r w:rsidRPr="000A5447">
        <w:fldChar w:fldCharType="separate"/>
      </w:r>
      <w:r w:rsidR="00517F95">
        <w:rPr>
          <w:noProof/>
        </w:rPr>
        <w:t>118</w:t>
      </w:r>
      <w:r w:rsidRPr="000A5447">
        <w:fldChar w:fldCharType="end"/>
      </w:r>
      <w:r w:rsidRPr="000A5447">
        <w:t xml:space="preserve"> and </w:t>
      </w:r>
      <w:r w:rsidRPr="000A5447">
        <w:fldChar w:fldCharType="begin"/>
      </w:r>
      <w:r w:rsidRPr="000A5447">
        <w:instrText xml:space="preserve"> REF AbduCoAreliable \h </w:instrText>
      </w:r>
      <w:r w:rsidRPr="000A5447">
        <w:fldChar w:fldCharType="separate"/>
      </w:r>
      <w:r w:rsidR="00517F95">
        <w:rPr>
          <w:noProof/>
        </w:rPr>
        <w:t>128</w:t>
      </w:r>
      <w:r w:rsidRPr="000A5447">
        <w:fldChar w:fldCharType="end"/>
      </w:r>
      <w:r w:rsidRPr="000A5447">
        <w:t xml:space="preserve"> above).</w:t>
      </w:r>
    </w:p>
    <w:p w:rsidR="00F3192B" w:rsidRPr="00EF66BC" w:rsidRDefault="00F3192B" w:rsidP="00EF66BC">
      <w:pPr>
        <w:pStyle w:val="ECHRHeading6"/>
        <w:rPr>
          <w:b/>
        </w:rPr>
      </w:pPr>
      <w:r w:rsidRPr="00EF66BC">
        <w:rPr>
          <w:b/>
        </w:rPr>
        <w:t>(γ)</w:t>
      </w:r>
      <w:r w:rsidR="001928E7">
        <w:rPr>
          <w:b/>
        </w:rPr>
        <w:t>  </w:t>
      </w:r>
      <w:r w:rsidRPr="00EF66BC">
        <w:rPr>
          <w:b/>
        </w:rPr>
        <w:t>Whether the statement was promptly retracted</w:t>
      </w:r>
    </w:p>
    <w:p w:rsidR="00F3192B" w:rsidRDefault="00555E80" w:rsidP="00F3192B">
      <w:pPr>
        <w:pStyle w:val="JuPara"/>
      </w:pPr>
      <w:r>
        <w:fldChar w:fldCharType="begin"/>
      </w:r>
      <w:r>
        <w:instrText xml:space="preserve"> SEQ level0 \*arabic </w:instrText>
      </w:r>
      <w:r>
        <w:fldChar w:fldCharType="separate"/>
      </w:r>
      <w:r w:rsidR="00517F95">
        <w:rPr>
          <w:noProof/>
        </w:rPr>
        <w:t>219</w:t>
      </w:r>
      <w:r>
        <w:rPr>
          <w:noProof/>
        </w:rPr>
        <w:fldChar w:fldCharType="end"/>
      </w:r>
      <w:r w:rsidR="008E4413">
        <w:t>.  </w:t>
      </w:r>
      <w:r w:rsidR="00F3192B" w:rsidRPr="000A5447">
        <w:t xml:space="preserve">Throughout the police investigation and the criminal proceedings, the applicant sought to rely on the fact that he had voluntarily offered early assistance to the police to mitigate his actions (see also </w:t>
      </w:r>
      <w:r w:rsidR="00F3192B" w:rsidRPr="000A5447">
        <w:rPr>
          <w:i/>
        </w:rPr>
        <w:t>Bandaletov</w:t>
      </w:r>
      <w:r w:rsidR="00F3192B" w:rsidRPr="000A5447">
        <w:t xml:space="preserve">, cited above, §§ 27 and 61). In his prepared statement read out on 30 July 2005 after consultation with his solicitor, he emphasised the valuable assistance that he had given (see paragraph </w:t>
      </w:r>
      <w:r w:rsidR="00F3192B" w:rsidRPr="000A5447">
        <w:fldChar w:fldCharType="begin"/>
      </w:r>
      <w:r w:rsidR="00F3192B" w:rsidRPr="000A5447">
        <w:instrText xml:space="preserve"> REF AbduWS30jul \h </w:instrText>
      </w:r>
      <w:r w:rsidR="00F3192B" w:rsidRPr="000A5447">
        <w:fldChar w:fldCharType="separate"/>
      </w:r>
      <w:r w:rsidR="00517F95">
        <w:rPr>
          <w:noProof/>
        </w:rPr>
        <w:t>111</w:t>
      </w:r>
      <w:r w:rsidR="00F3192B" w:rsidRPr="000A5447">
        <w:fldChar w:fldCharType="end"/>
      </w:r>
      <w:r w:rsidR="00F3192B" w:rsidRPr="000A5447">
        <w:t xml:space="preserve"> above). He made the same point in a police interview on 1 August (see paragraph </w:t>
      </w:r>
      <w:r w:rsidR="00F3192B" w:rsidRPr="000A5447">
        <w:fldChar w:fldCharType="begin"/>
      </w:r>
      <w:r w:rsidR="00F3192B" w:rsidRPr="000A5447">
        <w:instrText xml:space="preserve"> REF AbduWSAug \h </w:instrText>
      </w:r>
      <w:r w:rsidR="00F3192B" w:rsidRPr="000A5447">
        <w:fldChar w:fldCharType="separate"/>
      </w:r>
      <w:r w:rsidR="00517F95">
        <w:rPr>
          <w:noProof/>
        </w:rPr>
        <w:t>112</w:t>
      </w:r>
      <w:r w:rsidR="00F3192B" w:rsidRPr="000A5447">
        <w:fldChar w:fldCharType="end"/>
      </w:r>
      <w:r w:rsidR="00F3192B" w:rsidRPr="000A5447">
        <w:t xml:space="preserve"> above). In his appeal against sentence, he </w:t>
      </w:r>
      <w:r w:rsidR="00F3192B">
        <w:t>successfully relied on the early assistance provided to seek a reduction in the term of imprisonment he had been sentenced to serve. The Court of Appeal considered the matter of pre-arrest assistance to the police to be relevant to the sentencing exercise and in the applicant</w:t>
      </w:r>
      <w:r w:rsidR="005E7B7A">
        <w:t>’</w:t>
      </w:r>
      <w:r w:rsidR="00F3192B">
        <w:t>s case it led to a two-year reduction in sen</w:t>
      </w:r>
      <w:r w:rsidR="00B34516">
        <w:t>tence on appeal (see paragraphs </w:t>
      </w:r>
      <w:r w:rsidR="00F3192B">
        <w:fldChar w:fldCharType="begin"/>
      </w:r>
      <w:r w:rsidR="00F3192B">
        <w:instrText xml:space="preserve"> REF Abduappeal1 \h </w:instrText>
      </w:r>
      <w:r w:rsidR="00F3192B">
        <w:fldChar w:fldCharType="separate"/>
      </w:r>
      <w:r w:rsidR="00517F95">
        <w:rPr>
          <w:noProof/>
        </w:rPr>
        <w:t>130</w:t>
      </w:r>
      <w:r w:rsidR="00F3192B">
        <w:fldChar w:fldCharType="end"/>
      </w:r>
      <w:r w:rsidR="00F3192B">
        <w:t>-</w:t>
      </w:r>
      <w:r w:rsidR="00F3192B">
        <w:fldChar w:fldCharType="begin"/>
      </w:r>
      <w:r w:rsidR="00F3192B">
        <w:instrText xml:space="preserve"> REF Abduappealreductionandsherif \h </w:instrText>
      </w:r>
      <w:r w:rsidR="00F3192B">
        <w:fldChar w:fldCharType="separate"/>
      </w:r>
      <w:r w:rsidR="00517F95">
        <w:rPr>
          <w:noProof/>
        </w:rPr>
        <w:t>132</w:t>
      </w:r>
      <w:r w:rsidR="00F3192B">
        <w:fldChar w:fldCharType="end"/>
      </w:r>
      <w:r w:rsidR="00F3192B">
        <w:t xml:space="preserve"> above).</w:t>
      </w:r>
    </w:p>
    <w:bookmarkStart w:id="146" w:name="Ladoptedstatement"/>
    <w:p w:rsidR="00F3192B" w:rsidRDefault="00F3192B" w:rsidP="00F3192B">
      <w:pPr>
        <w:pStyle w:val="JuPara"/>
      </w:pPr>
      <w:r>
        <w:fldChar w:fldCharType="begin"/>
      </w:r>
      <w:r>
        <w:instrText xml:space="preserve"> SEQ level0 \*arabic </w:instrText>
      </w:r>
      <w:r>
        <w:fldChar w:fldCharType="separate"/>
      </w:r>
      <w:r w:rsidR="00517F95">
        <w:rPr>
          <w:noProof/>
        </w:rPr>
        <w:t>220</w:t>
      </w:r>
      <w:r>
        <w:rPr>
          <w:noProof/>
        </w:rPr>
        <w:fldChar w:fldCharType="end"/>
      </w:r>
      <w:bookmarkEnd w:id="146"/>
      <w:r>
        <w:t xml:space="preserve">.  It is also significant that as soon as the applicant was arrested and cautioned, he was offered legal advice, although at that time he declined it (see paragraph </w:t>
      </w:r>
      <w:r>
        <w:fldChar w:fldCharType="begin"/>
      </w:r>
      <w:r>
        <w:instrText xml:space="preserve"> REF Abdurefuselegaladvice \h </w:instrText>
      </w:r>
      <w:r>
        <w:fldChar w:fldCharType="separate"/>
      </w:r>
      <w:r w:rsidR="00517F95">
        <w:rPr>
          <w:noProof/>
        </w:rPr>
        <w:t>110</w:t>
      </w:r>
      <w:r>
        <w:fldChar w:fldCharType="end"/>
      </w:r>
      <w:r>
        <w:t xml:space="preserve"> above). He was not interviewed again until two and a half days later, by which time he had availed himself of his right to legal </w:t>
      </w:r>
      <w:r w:rsidRPr="000A5447">
        <w:t>assistance. During this period, he had ample opportunity to reflect on his defence, with the benefit of legal advice, in order to choose how he wished to proceed. He could have chosen at that stage to retract the witness statement, relying then on the arguments which he now advances. Instead he chose to adopt his witness statement and build upon it, clarifying some factual details and emphasising once more his desire to assist the police and his ignorance as to Mr Osman</w:t>
      </w:r>
      <w:r w:rsidR="005E7B7A">
        <w:t>’</w:t>
      </w:r>
      <w:r w:rsidRPr="000A5447">
        <w:t xml:space="preserve">s role in the attempted bombings (see paragraph </w:t>
      </w:r>
      <w:r w:rsidRPr="000A5447">
        <w:fldChar w:fldCharType="begin"/>
      </w:r>
      <w:r w:rsidRPr="000A5447">
        <w:instrText xml:space="preserve"> REF AbduWS30jul \h </w:instrText>
      </w:r>
      <w:r w:rsidRPr="000A5447">
        <w:fldChar w:fldCharType="separate"/>
      </w:r>
      <w:r w:rsidR="00517F95">
        <w:rPr>
          <w:noProof/>
        </w:rPr>
        <w:t>111</w:t>
      </w:r>
      <w:r w:rsidRPr="000A5447">
        <w:fldChar w:fldCharType="end"/>
      </w:r>
      <w:r w:rsidRPr="000A5447">
        <w:t xml:space="preserve"> above and </w:t>
      </w:r>
      <w:r w:rsidRPr="000A5447">
        <w:rPr>
          <w:i/>
        </w:rPr>
        <w:t>Bandaletov</w:t>
      </w:r>
      <w:r w:rsidRPr="000A5447">
        <w:t xml:space="preserve">, cited above, §§ 17-18, 23, 26 and 67; and compare and contrast </w:t>
      </w:r>
      <w:r w:rsidRPr="000A5447">
        <w:rPr>
          <w:i/>
        </w:rPr>
        <w:t>Lutsenko</w:t>
      </w:r>
      <w:r w:rsidRPr="000A5447">
        <w:t>, cited above, §§</w:t>
      </w:r>
      <w:r w:rsidR="00C10B84">
        <w:t xml:space="preserve"> </w:t>
      </w:r>
      <w:r w:rsidRPr="000A5447">
        <w:t>10 and 51).</w:t>
      </w:r>
      <w:r w:rsidR="00C10B84">
        <w:t xml:space="preserve"> </w:t>
      </w:r>
      <w:r w:rsidRPr="000A5447">
        <w:t>The decision not to retract the witness statement once he had received legal advice was an important factor in the trial judge</w:t>
      </w:r>
      <w:r w:rsidR="005E7B7A">
        <w:t>’</w:t>
      </w:r>
      <w:r w:rsidRPr="000A5447">
        <w:t xml:space="preserve">s finding that the statement was reliable and that it would not be unfair to admit it or an abuse of process to continue with the trial (see paragraphs </w:t>
      </w:r>
      <w:r w:rsidRPr="000A5447">
        <w:fldChar w:fldCharType="begin"/>
      </w:r>
      <w:r w:rsidRPr="000A5447">
        <w:instrText xml:space="preserve"> REF F4thapprulingnooppression \h </w:instrText>
      </w:r>
      <w:r w:rsidRPr="000A5447">
        <w:fldChar w:fldCharType="separate"/>
      </w:r>
      <w:r w:rsidR="00517F95">
        <w:rPr>
          <w:noProof/>
        </w:rPr>
        <w:t>118</w:t>
      </w:r>
      <w:r w:rsidRPr="000A5447">
        <w:fldChar w:fldCharType="end"/>
      </w:r>
      <w:r w:rsidRPr="000A5447">
        <w:t xml:space="preserve">, </w:t>
      </w:r>
      <w:r w:rsidRPr="000A5447">
        <w:fldChar w:fldCharType="begin"/>
      </w:r>
      <w:r w:rsidRPr="000A5447">
        <w:instrText xml:space="preserve"> REF Abdutrialabuseofprocessruling \h </w:instrText>
      </w:r>
      <w:r w:rsidRPr="000A5447">
        <w:fldChar w:fldCharType="separate"/>
      </w:r>
      <w:r w:rsidR="00517F95">
        <w:rPr>
          <w:noProof/>
        </w:rPr>
        <w:t>123</w:t>
      </w:r>
      <w:r w:rsidRPr="000A5447">
        <w:fldChar w:fldCharType="end"/>
      </w:r>
      <w:r w:rsidRPr="000A5447">
        <w:t xml:space="preserve"> and </w:t>
      </w:r>
      <w:r w:rsidRPr="000A5447">
        <w:fldChar w:fldCharType="begin"/>
      </w:r>
      <w:r w:rsidRPr="000A5447">
        <w:instrText xml:space="preserve"> REF AbduCoAreliable \h </w:instrText>
      </w:r>
      <w:r w:rsidRPr="000A5447">
        <w:fldChar w:fldCharType="separate"/>
      </w:r>
      <w:r w:rsidR="00517F95">
        <w:rPr>
          <w:noProof/>
        </w:rPr>
        <w:t>128</w:t>
      </w:r>
      <w:r w:rsidRPr="000A5447">
        <w:fldChar w:fldCharType="end"/>
      </w:r>
      <w:r w:rsidRPr="000A5447">
        <w:t xml:space="preserve"> above). </w:t>
      </w:r>
      <w:r>
        <w:t xml:space="preserve">By converse implication, had the applicant retracted the statement after having received legal advice, this would have weighed heavily in the balance against its admission. The Court accordingly rejects the </w:t>
      </w:r>
      <w:r w:rsidRPr="000A5447">
        <w:t>fourth applicant</w:t>
      </w:r>
      <w:r w:rsidR="005E7B7A">
        <w:t>’</w:t>
      </w:r>
      <w:r>
        <w:t>s</w:t>
      </w:r>
      <w:r w:rsidRPr="000A5447">
        <w:t xml:space="preserve"> claim to have been presented with a </w:t>
      </w:r>
      <w:r w:rsidRPr="000A5447">
        <w:rPr>
          <w:i/>
        </w:rPr>
        <w:t xml:space="preserve">fait accompli </w:t>
      </w:r>
      <w:r w:rsidRPr="000A5447">
        <w:t xml:space="preserve">once the statement had </w:t>
      </w:r>
      <w:r>
        <w:t xml:space="preserve">been taken (see paragraph </w:t>
      </w:r>
      <w:r>
        <w:fldChar w:fldCharType="begin"/>
      </w:r>
      <w:r>
        <w:instrText xml:space="preserve"> REF abdufaitaccompli \h </w:instrText>
      </w:r>
      <w:r>
        <w:fldChar w:fldCharType="separate"/>
      </w:r>
      <w:r w:rsidR="00517F95">
        <w:rPr>
          <w:noProof/>
        </w:rPr>
        <w:t>188</w:t>
      </w:r>
      <w:r>
        <w:fldChar w:fldCharType="end"/>
      </w:r>
      <w:r>
        <w:t xml:space="preserve"> above). It is also significant in this respect that, while he did challenge the admissibility of the statement at trial, he has failed to explain why he felt unable to challenge it at an earlier stage.</w:t>
      </w:r>
    </w:p>
    <w:p w:rsidR="00F3192B" w:rsidRDefault="00555E80" w:rsidP="00F3192B">
      <w:pPr>
        <w:pStyle w:val="JuPara"/>
      </w:pPr>
      <w:r>
        <w:fldChar w:fldCharType="begin"/>
      </w:r>
      <w:r>
        <w:instrText xml:space="preserve"> SEQ level0 \*arabic </w:instrText>
      </w:r>
      <w:r>
        <w:fldChar w:fldCharType="separate"/>
      </w:r>
      <w:r w:rsidR="00517F95">
        <w:rPr>
          <w:noProof/>
        </w:rPr>
        <w:t>221</w:t>
      </w:r>
      <w:r>
        <w:rPr>
          <w:noProof/>
        </w:rPr>
        <w:fldChar w:fldCharType="end"/>
      </w:r>
      <w:r w:rsidR="00F3192B">
        <w:t xml:space="preserve">.  It is true that in </w:t>
      </w:r>
      <w:r w:rsidR="00F3192B" w:rsidRPr="00BC3368">
        <w:rPr>
          <w:i/>
          <w:szCs w:val="24"/>
        </w:rPr>
        <w:t>Titarenko v. Ukraine,</w:t>
      </w:r>
      <w:r w:rsidR="00F3192B">
        <w:rPr>
          <w:szCs w:val="24"/>
        </w:rPr>
        <w:t xml:space="preserve"> no.</w:t>
      </w:r>
      <w:r w:rsidR="00C10B84">
        <w:rPr>
          <w:szCs w:val="24"/>
        </w:rPr>
        <w:t xml:space="preserve"> </w:t>
      </w:r>
      <w:r w:rsidR="00F3192B" w:rsidRPr="00BC3368">
        <w:rPr>
          <w:szCs w:val="24"/>
        </w:rPr>
        <w:t>31720/02</w:t>
      </w:r>
      <w:r w:rsidR="00F3192B" w:rsidRPr="00BC3368">
        <w:rPr>
          <w:snapToGrid w:val="0"/>
          <w:szCs w:val="24"/>
        </w:rPr>
        <w:t xml:space="preserve">, § 87, </w:t>
      </w:r>
      <w:r w:rsidR="00F3192B" w:rsidRPr="00BC3368">
        <w:rPr>
          <w:szCs w:val="24"/>
        </w:rPr>
        <w:t>20</w:t>
      </w:r>
      <w:r w:rsidR="00FC79F5">
        <w:rPr>
          <w:snapToGrid w:val="0"/>
          <w:szCs w:val="24"/>
        </w:rPr>
        <w:t> </w:t>
      </w:r>
      <w:r w:rsidR="00F3192B" w:rsidRPr="00BC3368">
        <w:rPr>
          <w:snapToGrid w:val="0"/>
          <w:szCs w:val="24"/>
        </w:rPr>
        <w:t>September 2012</w:t>
      </w:r>
      <w:r w:rsidR="00F3192B">
        <w:rPr>
          <w:snapToGrid w:val="0"/>
          <w:szCs w:val="24"/>
        </w:rPr>
        <w:t xml:space="preserve">, the Court did not consider the fact that the applicant there had repeated his confession in the presence of his lawyer to undermine its finding that his rights had been irretrievably prejudiced. However, this conclusion in that particular case cannot be taken in isolation: as the Court has already emphasised, the question whether criminal proceedings were fair must be assessed by reference to the proceedings in their entirety (see paragraphs </w:t>
      </w:r>
      <w:r w:rsidR="00F3192B">
        <w:rPr>
          <w:snapToGrid w:val="0"/>
          <w:szCs w:val="24"/>
        </w:rPr>
        <w:fldChar w:fldCharType="begin"/>
      </w:r>
      <w:r w:rsidR="00F3192B">
        <w:rPr>
          <w:snapToGrid w:val="0"/>
          <w:szCs w:val="24"/>
        </w:rPr>
        <w:instrText xml:space="preserve"> REF LGPsintro \h </w:instrText>
      </w:r>
      <w:r w:rsidR="00F3192B">
        <w:rPr>
          <w:snapToGrid w:val="0"/>
          <w:szCs w:val="24"/>
        </w:rPr>
      </w:r>
      <w:r w:rsidR="00F3192B">
        <w:rPr>
          <w:snapToGrid w:val="0"/>
          <w:szCs w:val="24"/>
        </w:rPr>
        <w:fldChar w:fldCharType="separate"/>
      </w:r>
      <w:r w:rsidR="00517F95">
        <w:rPr>
          <w:rStyle w:val="sb8d990e2"/>
          <w:noProof/>
        </w:rPr>
        <w:t>191</w:t>
      </w:r>
      <w:r w:rsidR="00F3192B">
        <w:rPr>
          <w:snapToGrid w:val="0"/>
          <w:szCs w:val="24"/>
        </w:rPr>
        <w:fldChar w:fldCharType="end"/>
      </w:r>
      <w:r w:rsidR="00F3192B">
        <w:rPr>
          <w:snapToGrid w:val="0"/>
          <w:szCs w:val="24"/>
        </w:rPr>
        <w:t>-</w:t>
      </w:r>
      <w:r w:rsidR="00F3192B">
        <w:rPr>
          <w:snapToGrid w:val="0"/>
          <w:szCs w:val="24"/>
        </w:rPr>
        <w:fldChar w:fldCharType="begin"/>
      </w:r>
      <w:r w:rsidR="00F3192B">
        <w:rPr>
          <w:snapToGrid w:val="0"/>
          <w:szCs w:val="24"/>
        </w:rPr>
        <w:instrText xml:space="preserve"> REF Ladmissibilityofev \h </w:instrText>
      </w:r>
      <w:r w:rsidR="00F3192B">
        <w:rPr>
          <w:snapToGrid w:val="0"/>
          <w:szCs w:val="24"/>
        </w:rPr>
      </w:r>
      <w:r w:rsidR="00F3192B">
        <w:rPr>
          <w:snapToGrid w:val="0"/>
          <w:szCs w:val="24"/>
        </w:rPr>
        <w:fldChar w:fldCharType="separate"/>
      </w:r>
      <w:r w:rsidR="00517F95">
        <w:rPr>
          <w:rStyle w:val="sb8d990e2"/>
          <w:noProof/>
        </w:rPr>
        <w:t>196</w:t>
      </w:r>
      <w:r w:rsidR="00F3192B">
        <w:rPr>
          <w:snapToGrid w:val="0"/>
          <w:szCs w:val="24"/>
        </w:rPr>
        <w:fldChar w:fldCharType="end"/>
      </w:r>
      <w:r w:rsidR="00F3192B">
        <w:rPr>
          <w:snapToGrid w:val="0"/>
          <w:szCs w:val="24"/>
        </w:rPr>
        <w:t xml:space="preserve"> above) and the facts of </w:t>
      </w:r>
      <w:r w:rsidR="00F3192B" w:rsidRPr="00775E29">
        <w:rPr>
          <w:i/>
          <w:snapToGrid w:val="0"/>
          <w:szCs w:val="24"/>
        </w:rPr>
        <w:t>Titarenko</w:t>
      </w:r>
      <w:r w:rsidR="00F3192B">
        <w:rPr>
          <w:snapToGrid w:val="0"/>
          <w:szCs w:val="24"/>
        </w:rPr>
        <w:t xml:space="preserve"> were significantly different. Notably, the impugned interview in that case was conducted once the applicant had been arrested and was in involuntary police custody and the applicant later retracted what he had said in his confession, claimed that he had an alibi and contended that the confession had been obtained from him under duress. None of these features were present in the fourth applicant</w:t>
      </w:r>
      <w:r w:rsidR="005E7B7A">
        <w:rPr>
          <w:snapToGrid w:val="0"/>
          <w:szCs w:val="24"/>
        </w:rPr>
        <w:t>’</w:t>
      </w:r>
      <w:r w:rsidR="00F3192B">
        <w:rPr>
          <w:snapToGrid w:val="0"/>
          <w:szCs w:val="24"/>
        </w:rPr>
        <w:t xml:space="preserve">s case. As noted above, the applicant </w:t>
      </w:r>
      <w:r w:rsidR="00F06C4B">
        <w:rPr>
          <w:snapToGrid w:val="0"/>
          <w:szCs w:val="24"/>
        </w:rPr>
        <w:t xml:space="preserve">had at first been </w:t>
      </w:r>
      <w:r w:rsidR="00F3192B">
        <w:rPr>
          <w:snapToGrid w:val="0"/>
          <w:szCs w:val="24"/>
        </w:rPr>
        <w:t>interviewed as a witness while voluntarily attending th</w:t>
      </w:r>
      <w:r w:rsidR="00FC79F5">
        <w:rPr>
          <w:snapToGrid w:val="0"/>
          <w:szCs w:val="24"/>
        </w:rPr>
        <w:t>e police station (see paragraph </w:t>
      </w:r>
      <w:r w:rsidR="00F3192B">
        <w:rPr>
          <w:snapToGrid w:val="0"/>
          <w:szCs w:val="24"/>
        </w:rPr>
        <w:fldChar w:fldCharType="begin"/>
      </w:r>
      <w:r w:rsidR="00F3192B">
        <w:rPr>
          <w:snapToGrid w:val="0"/>
          <w:szCs w:val="24"/>
        </w:rPr>
        <w:instrText xml:space="preserve"> REF Lvolattendance \h </w:instrText>
      </w:r>
      <w:r w:rsidR="00F3192B">
        <w:rPr>
          <w:snapToGrid w:val="0"/>
          <w:szCs w:val="24"/>
        </w:rPr>
      </w:r>
      <w:r w:rsidR="00F3192B">
        <w:rPr>
          <w:snapToGrid w:val="0"/>
          <w:szCs w:val="24"/>
        </w:rPr>
        <w:fldChar w:fldCharType="separate"/>
      </w:r>
      <w:r w:rsidR="00517F95">
        <w:rPr>
          <w:noProof/>
        </w:rPr>
        <w:t>218</w:t>
      </w:r>
      <w:r w:rsidR="00F3192B">
        <w:rPr>
          <w:snapToGrid w:val="0"/>
          <w:szCs w:val="24"/>
        </w:rPr>
        <w:fldChar w:fldCharType="end"/>
      </w:r>
      <w:r w:rsidR="00F3192B">
        <w:rPr>
          <w:snapToGrid w:val="0"/>
          <w:szCs w:val="24"/>
        </w:rPr>
        <w:t xml:space="preserve"> above). In suspect interviews on 30 July, 1 August, 2 August and 3 August, all conducted in the presence of a lawyer and after the applicant had received legal advice, he either reiterated what he had previously said or referred to his prior statement. </w:t>
      </w:r>
      <w:r w:rsidR="00F3192B">
        <w:t xml:space="preserve">At no stage did he seek to advance any other version of events than the one given to the police during his </w:t>
      </w:r>
      <w:r w:rsidR="00F06C4B">
        <w:t xml:space="preserve">initial </w:t>
      </w:r>
      <w:r w:rsidR="00F3192B">
        <w:t xml:space="preserve">interview (see paragraph </w:t>
      </w:r>
      <w:r w:rsidR="00F3192B">
        <w:rPr>
          <w:snapToGrid w:val="0"/>
          <w:szCs w:val="24"/>
        </w:rPr>
        <w:t xml:space="preserve">paragraphs </w:t>
      </w:r>
      <w:r w:rsidR="00F3192B">
        <w:rPr>
          <w:snapToGrid w:val="0"/>
          <w:szCs w:val="24"/>
        </w:rPr>
        <w:fldChar w:fldCharType="begin"/>
      </w:r>
      <w:r w:rsidR="00F3192B">
        <w:rPr>
          <w:snapToGrid w:val="0"/>
          <w:szCs w:val="24"/>
        </w:rPr>
        <w:instrText xml:space="preserve"> REF AbduWS30jul \h </w:instrText>
      </w:r>
      <w:r w:rsidR="00F3192B">
        <w:rPr>
          <w:snapToGrid w:val="0"/>
          <w:szCs w:val="24"/>
        </w:rPr>
      </w:r>
      <w:r w:rsidR="00F3192B">
        <w:rPr>
          <w:snapToGrid w:val="0"/>
          <w:szCs w:val="24"/>
        </w:rPr>
        <w:fldChar w:fldCharType="separate"/>
      </w:r>
      <w:r w:rsidR="00517F95">
        <w:rPr>
          <w:noProof/>
        </w:rPr>
        <w:t>111</w:t>
      </w:r>
      <w:r w:rsidR="00F3192B">
        <w:rPr>
          <w:snapToGrid w:val="0"/>
          <w:szCs w:val="24"/>
        </w:rPr>
        <w:fldChar w:fldCharType="end"/>
      </w:r>
      <w:r w:rsidR="00F3192B">
        <w:rPr>
          <w:snapToGrid w:val="0"/>
          <w:szCs w:val="24"/>
        </w:rPr>
        <w:t>-</w:t>
      </w:r>
      <w:r w:rsidR="00F3192B">
        <w:rPr>
          <w:snapToGrid w:val="0"/>
          <w:szCs w:val="24"/>
        </w:rPr>
        <w:fldChar w:fldCharType="begin"/>
      </w:r>
      <w:r w:rsidR="00F3192B">
        <w:rPr>
          <w:snapToGrid w:val="0"/>
          <w:szCs w:val="24"/>
        </w:rPr>
        <w:instrText xml:space="preserve"> REF AbduWSAug \h </w:instrText>
      </w:r>
      <w:r w:rsidR="00F3192B">
        <w:rPr>
          <w:snapToGrid w:val="0"/>
          <w:szCs w:val="24"/>
        </w:rPr>
      </w:r>
      <w:r w:rsidR="00F3192B">
        <w:rPr>
          <w:snapToGrid w:val="0"/>
          <w:szCs w:val="24"/>
        </w:rPr>
        <w:fldChar w:fldCharType="separate"/>
      </w:r>
      <w:r w:rsidR="00517F95">
        <w:rPr>
          <w:noProof/>
        </w:rPr>
        <w:t>112</w:t>
      </w:r>
      <w:r w:rsidR="00F3192B">
        <w:rPr>
          <w:snapToGrid w:val="0"/>
          <w:szCs w:val="24"/>
        </w:rPr>
        <w:fldChar w:fldCharType="end"/>
      </w:r>
      <w:r w:rsidR="00F3192B">
        <w:rPr>
          <w:snapToGrid w:val="0"/>
          <w:szCs w:val="24"/>
        </w:rPr>
        <w:t xml:space="preserve"> and </w:t>
      </w:r>
      <w:r w:rsidR="00F3192B">
        <w:fldChar w:fldCharType="begin"/>
      </w:r>
      <w:r w:rsidR="00F3192B">
        <w:instrText xml:space="preserve"> REF Ladoptedstatement \h </w:instrText>
      </w:r>
      <w:r w:rsidR="00F3192B">
        <w:fldChar w:fldCharType="separate"/>
      </w:r>
      <w:r w:rsidR="00517F95">
        <w:rPr>
          <w:noProof/>
        </w:rPr>
        <w:t>220</w:t>
      </w:r>
      <w:r w:rsidR="00F3192B">
        <w:fldChar w:fldCharType="end"/>
      </w:r>
      <w:r w:rsidR="00F3192B">
        <w:t xml:space="preserve"> above and compare and contrast also </w:t>
      </w:r>
      <w:r w:rsidR="00F3192B" w:rsidRPr="00F66F75">
        <w:rPr>
          <w:i/>
        </w:rPr>
        <w:t>Salduz</w:t>
      </w:r>
      <w:r w:rsidR="00F3192B">
        <w:t>, cited above, §</w:t>
      </w:r>
      <w:r w:rsidR="00C10B84">
        <w:t xml:space="preserve"> </w:t>
      </w:r>
      <w:r w:rsidR="00F3192B">
        <w:t xml:space="preserve">17; and </w:t>
      </w:r>
      <w:r w:rsidR="00FC79F5">
        <w:rPr>
          <w:i/>
        </w:rPr>
        <w:t>Alexander </w:t>
      </w:r>
      <w:r w:rsidR="00F3192B" w:rsidRPr="00A52895">
        <w:rPr>
          <w:i/>
        </w:rPr>
        <w:t>Zaichenko</w:t>
      </w:r>
      <w:r w:rsidR="00F3192B">
        <w:t>, cited above, §§</w:t>
      </w:r>
      <w:r w:rsidR="00C10B84">
        <w:t xml:space="preserve"> 14-15).</w:t>
      </w:r>
    </w:p>
    <w:p w:rsidR="00F3192B" w:rsidRPr="00EF66BC" w:rsidRDefault="00F3192B" w:rsidP="00EF66BC">
      <w:pPr>
        <w:pStyle w:val="ECHRHeading6"/>
        <w:rPr>
          <w:b/>
        </w:rPr>
      </w:pPr>
      <w:r w:rsidRPr="00EF66BC">
        <w:rPr>
          <w:b/>
        </w:rPr>
        <w:t>(δ)</w:t>
      </w:r>
      <w:r w:rsidR="001928E7">
        <w:rPr>
          <w:b/>
        </w:rPr>
        <w:t>  </w:t>
      </w:r>
      <w:r w:rsidR="008E4413">
        <w:rPr>
          <w:b/>
        </w:rPr>
        <w:t>The procedural safeguards at trial, and in particular the</w:t>
      </w:r>
      <w:r w:rsidR="008E4413" w:rsidRPr="00047C68">
        <w:rPr>
          <w:b/>
        </w:rPr>
        <w:t xml:space="preserve"> possibility to challenge the disputed eviden</w:t>
      </w:r>
      <w:r w:rsidR="008E4413">
        <w:rPr>
          <w:b/>
        </w:rPr>
        <w:t>ce</w:t>
      </w:r>
    </w:p>
    <w:bookmarkStart w:id="147" w:name="Lfourthapplicantposstochallenge"/>
    <w:p w:rsidR="00F3192B" w:rsidRPr="00F3192B" w:rsidRDefault="00923E18" w:rsidP="00F3192B">
      <w:pPr>
        <w:pStyle w:val="JuPara"/>
      </w:pPr>
      <w:r>
        <w:fldChar w:fldCharType="begin"/>
      </w:r>
      <w:r>
        <w:instrText xml:space="preserve"> SEQ level0 \*arabic </w:instrText>
      </w:r>
      <w:r>
        <w:fldChar w:fldCharType="separate"/>
      </w:r>
      <w:r w:rsidR="00517F95">
        <w:rPr>
          <w:noProof/>
        </w:rPr>
        <w:t>222</w:t>
      </w:r>
      <w:r>
        <w:rPr>
          <w:noProof/>
        </w:rPr>
        <w:fldChar w:fldCharType="end"/>
      </w:r>
      <w:bookmarkEnd w:id="147"/>
      <w:r w:rsidR="00F3192B">
        <w:t>.  A number of procedural opportunities existed at trial to ensure the fairness of the proceedings. The applicant enjoyed the right to challenge the admission of the statement and availed himself of that right. In the context of his examination of the challenge, the trial judge was persuaded that there was no oppression and that nothing was said or done by the police officers that could have rendered the statement unreliable (see paragrap</w:t>
      </w:r>
      <w:bookmarkStart w:id="148" w:name="fourthapplicantruling"/>
      <w:bookmarkEnd w:id="148"/>
      <w:r w:rsidR="00F3192B">
        <w:t xml:space="preserve">h </w:t>
      </w:r>
      <w:r w:rsidR="00F3192B">
        <w:fldChar w:fldCharType="begin"/>
      </w:r>
      <w:r w:rsidR="00F3192B">
        <w:instrText xml:space="preserve"> REF F4thapprulingnooppression \h </w:instrText>
      </w:r>
      <w:r w:rsidR="00F3192B">
        <w:fldChar w:fldCharType="separate"/>
      </w:r>
      <w:r w:rsidR="00517F95">
        <w:rPr>
          <w:noProof/>
        </w:rPr>
        <w:t>118</w:t>
      </w:r>
      <w:r w:rsidR="00F3192B">
        <w:fldChar w:fldCharType="end"/>
      </w:r>
      <w:r w:rsidR="00F3192B">
        <w:t xml:space="preserve"> above). He studied carefully the circumstances in which the statement </w:t>
      </w:r>
      <w:r w:rsidR="00F06C4B">
        <w:t xml:space="preserve">in its totality </w:t>
      </w:r>
      <w:r w:rsidR="00F3192B">
        <w:t xml:space="preserve">had been adopted by the fourth applicant and provided detailed reasons for his conclusion that there would be no unfairness if the statement were admitted in its entirety and if the prosecution were </w:t>
      </w:r>
      <w:r w:rsidR="00F3192B" w:rsidRPr="000A5447">
        <w:t xml:space="preserve">to proceed (see paragraphs </w:t>
      </w:r>
      <w:r w:rsidR="00F3192B" w:rsidRPr="000A5447">
        <w:fldChar w:fldCharType="begin"/>
      </w:r>
      <w:r w:rsidR="00F3192B" w:rsidRPr="000A5447">
        <w:instrText xml:space="preserve"> REF fourthapplicantrulingadmittingstatement \h </w:instrText>
      </w:r>
      <w:r w:rsidR="00F3192B" w:rsidRPr="000A5447">
        <w:fldChar w:fldCharType="separate"/>
      </w:r>
      <w:r w:rsidR="00517F95">
        <w:rPr>
          <w:noProof/>
        </w:rPr>
        <w:t>117</w:t>
      </w:r>
      <w:r w:rsidR="00F3192B" w:rsidRPr="000A5447">
        <w:fldChar w:fldCharType="end"/>
      </w:r>
      <w:r w:rsidR="00F3192B" w:rsidRPr="000A5447">
        <w:t>-</w:t>
      </w:r>
      <w:r w:rsidR="00F3192B" w:rsidRPr="000A5447">
        <w:fldChar w:fldCharType="begin"/>
      </w:r>
      <w:r w:rsidR="00F3192B" w:rsidRPr="000A5447">
        <w:instrText xml:space="preserve"> REF F4thapppartialexc \h </w:instrText>
      </w:r>
      <w:r w:rsidR="00F3192B" w:rsidRPr="000A5447">
        <w:fldChar w:fldCharType="separate"/>
      </w:r>
      <w:r w:rsidR="00517F95">
        <w:rPr>
          <w:noProof/>
        </w:rPr>
        <w:t>120</w:t>
      </w:r>
      <w:r w:rsidR="00F3192B" w:rsidRPr="000A5447">
        <w:fldChar w:fldCharType="end"/>
      </w:r>
      <w:r w:rsidR="00F3192B" w:rsidRPr="000A5447">
        <w:t xml:space="preserve"> and </w:t>
      </w:r>
      <w:r w:rsidR="00F3192B" w:rsidRPr="000A5447">
        <w:fldChar w:fldCharType="begin"/>
      </w:r>
      <w:r w:rsidR="00F3192B" w:rsidRPr="000A5447">
        <w:instrText xml:space="preserve"> REF Abdutrialabuseofprocessruling \h </w:instrText>
      </w:r>
      <w:r w:rsidR="00F3192B" w:rsidRPr="000A5447">
        <w:fldChar w:fldCharType="separate"/>
      </w:r>
      <w:r w:rsidR="00517F95">
        <w:rPr>
          <w:noProof/>
        </w:rPr>
        <w:t>123</w:t>
      </w:r>
      <w:r w:rsidR="00F3192B" w:rsidRPr="000A5447">
        <w:fldChar w:fldCharType="end"/>
      </w:r>
      <w:r w:rsidR="00F3192B" w:rsidRPr="000A5447">
        <w:t xml:space="preserve"> above; and compare and contrast </w:t>
      </w:r>
      <w:r w:rsidR="00F3192B" w:rsidRPr="000A5447">
        <w:rPr>
          <w:i/>
        </w:rPr>
        <w:t>Panovits</w:t>
      </w:r>
      <w:r w:rsidR="00F3192B" w:rsidRPr="000A5447">
        <w:t>, cited above, § 85; and</w:t>
      </w:r>
      <w:r w:rsidR="00F3192B" w:rsidRPr="000A5447">
        <w:rPr>
          <w:i/>
        </w:rPr>
        <w:t xml:space="preserve"> Alexander Zaichenko</w:t>
      </w:r>
      <w:r w:rsidR="00F3192B" w:rsidRPr="000A5447">
        <w:t xml:space="preserve">, cited above, § 58). His ruling was reviewed meticulously on appeal and his conclusions upheld (see paragraphs </w:t>
      </w:r>
      <w:r w:rsidR="00F3192B" w:rsidRPr="000A5447">
        <w:fldChar w:fldCharType="begin"/>
      </w:r>
      <w:r w:rsidR="00F3192B" w:rsidRPr="000A5447">
        <w:instrText xml:space="preserve"> REF AbduCoAreliable \h </w:instrText>
      </w:r>
      <w:r w:rsidR="00F3192B" w:rsidRPr="000A5447">
        <w:fldChar w:fldCharType="separate"/>
      </w:r>
      <w:r w:rsidR="00517F95">
        <w:rPr>
          <w:noProof/>
        </w:rPr>
        <w:t>128</w:t>
      </w:r>
      <w:r w:rsidR="00F3192B" w:rsidRPr="000A5447">
        <w:fldChar w:fldCharType="end"/>
      </w:r>
      <w:r w:rsidR="00F3192B" w:rsidRPr="000A5447">
        <w:t>-</w:t>
      </w:r>
      <w:r w:rsidR="00F3192B" w:rsidRPr="000A5447">
        <w:fldChar w:fldCharType="begin"/>
      </w:r>
      <w:r w:rsidR="00F3192B" w:rsidRPr="000A5447">
        <w:instrText xml:space="preserve"> REF AbduCoAabuse \h </w:instrText>
      </w:r>
      <w:r w:rsidR="00F3192B" w:rsidRPr="000A5447">
        <w:fldChar w:fldCharType="separate"/>
      </w:r>
      <w:r w:rsidR="00517F95">
        <w:rPr>
          <w:noProof/>
        </w:rPr>
        <w:t>129</w:t>
      </w:r>
      <w:r w:rsidR="00F3192B" w:rsidRPr="000A5447">
        <w:fldChar w:fldCharType="end"/>
      </w:r>
      <w:r w:rsidR="00C10B84">
        <w:t xml:space="preserve"> above).</w:t>
      </w:r>
    </w:p>
    <w:p w:rsidR="00560D3E" w:rsidRDefault="00F3192B" w:rsidP="00EF66BC">
      <w:pPr>
        <w:pStyle w:val="ECHRHeading6"/>
        <w:rPr>
          <w:b/>
        </w:rPr>
      </w:pPr>
      <w:r w:rsidRPr="00EF66BC">
        <w:rPr>
          <w:b/>
        </w:rPr>
        <w:t>(ε)</w:t>
      </w:r>
      <w:r w:rsidR="001928E7">
        <w:rPr>
          <w:b/>
        </w:rPr>
        <w:t>  </w:t>
      </w:r>
      <w:r w:rsidRPr="00EF66BC">
        <w:rPr>
          <w:b/>
        </w:rPr>
        <w:t>The strength of the other evidence in the case</w:t>
      </w:r>
    </w:p>
    <w:bookmarkStart w:id="149" w:name="Lfourthappundueprejend"/>
    <w:p w:rsidR="00F3192B" w:rsidRDefault="00A41E8C" w:rsidP="00F3192B">
      <w:pPr>
        <w:pStyle w:val="JuPara"/>
      </w:pPr>
      <w:r>
        <w:fldChar w:fldCharType="begin"/>
      </w:r>
      <w:r>
        <w:instrText xml:space="preserve"> SEQ level0 \*arabic </w:instrText>
      </w:r>
      <w:r>
        <w:fldChar w:fldCharType="separate"/>
      </w:r>
      <w:r w:rsidR="00517F95">
        <w:rPr>
          <w:noProof/>
        </w:rPr>
        <w:t>223</w:t>
      </w:r>
      <w:r>
        <w:rPr>
          <w:noProof/>
        </w:rPr>
        <w:fldChar w:fldCharType="end"/>
      </w:r>
      <w:bookmarkEnd w:id="149"/>
      <w:r w:rsidR="00F3192B" w:rsidRPr="000A5447">
        <w:t>.  </w:t>
      </w:r>
      <w:r w:rsidR="00057FAC" w:rsidRPr="00057FAC">
        <w:t>Finally, and most importantly, a great deal of other incriminating evidence was placed before the jury as proof of the charges against the fourth applicant</w:t>
      </w:r>
      <w:r w:rsidR="00057FAC">
        <w:t xml:space="preserve"> </w:t>
      </w:r>
      <w:r w:rsidR="00057FAC" w:rsidRPr="000A5447">
        <w:t xml:space="preserve">(see paragraph </w:t>
      </w:r>
      <w:r w:rsidR="00057FAC" w:rsidRPr="000A5447">
        <w:fldChar w:fldCharType="begin"/>
      </w:r>
      <w:r w:rsidR="00057FAC" w:rsidRPr="000A5447">
        <w:instrText xml:space="preserve"> REF fourthapplicanttrialotherevidence \h </w:instrText>
      </w:r>
      <w:r w:rsidR="00057FAC" w:rsidRPr="000A5447">
        <w:fldChar w:fldCharType="separate"/>
      </w:r>
      <w:r w:rsidR="00517F95">
        <w:rPr>
          <w:noProof/>
        </w:rPr>
        <w:t>121</w:t>
      </w:r>
      <w:r w:rsidR="00057FAC" w:rsidRPr="000A5447">
        <w:fldChar w:fldCharType="end"/>
      </w:r>
      <w:r w:rsidR="00057FAC" w:rsidRPr="000A5447">
        <w:t xml:space="preserve"> above)</w:t>
      </w:r>
      <w:r w:rsidR="00F3192B" w:rsidRPr="000A5447">
        <w:t xml:space="preserve">. CCTV footage </w:t>
      </w:r>
      <w:r w:rsidR="000A0E2D">
        <w:t>showed him in the company of Mr </w:t>
      </w:r>
      <w:r w:rsidR="00F3192B" w:rsidRPr="000A5447">
        <w:t>Osman at Clapham Junction train station</w:t>
      </w:r>
      <w:r w:rsidR="00F3192B">
        <w:t>, Vauxhall train station and walking to the fourth applicant</w:t>
      </w:r>
      <w:r w:rsidR="005E7B7A">
        <w:t>’</w:t>
      </w:r>
      <w:r w:rsidR="00F3192B">
        <w:t xml:space="preserve">s home. Cellsite analysis showed the contact which had taken place between the two men and demonstrated the presence of Mr Osman </w:t>
      </w:r>
      <w:r w:rsidR="00F06C4B">
        <w:t>in the fourth applicant</w:t>
      </w:r>
      <w:r w:rsidR="005E7B7A">
        <w:t>’</w:t>
      </w:r>
      <w:r w:rsidR="00F06C4B">
        <w:t>s home.</w:t>
      </w:r>
      <w:r w:rsidR="00F3192B">
        <w:t xml:space="preserve"> It also corroborated the prosecution allegation that </w:t>
      </w:r>
      <w:r w:rsidR="00FC79F5">
        <w:t>the fourth applicant had met Mr </w:t>
      </w:r>
      <w:r w:rsidR="00F3192B">
        <w:t>Sherif to collect a passport for Mr Osma</w:t>
      </w:r>
      <w:r w:rsidR="00FC79F5">
        <w:t>n. A fingerprint showed that Mr </w:t>
      </w:r>
      <w:r w:rsidR="00F3192B">
        <w:t>Osman had been in contact with a newspaper, containing a report of the bombings together with photographs, found in Mr Osman</w:t>
      </w:r>
      <w:r w:rsidR="005E7B7A">
        <w:t>’</w:t>
      </w:r>
      <w:r w:rsidR="00F3192B">
        <w:t xml:space="preserve">s flat. There was oral </w:t>
      </w:r>
      <w:r w:rsidR="000A0E2D">
        <w:t>evidence from Mr</w:t>
      </w:r>
      <w:r w:rsidR="00C10B84">
        <w:t xml:space="preserve"> </w:t>
      </w:r>
      <w:r w:rsidR="00F3192B">
        <w:t xml:space="preserve">Sherif as to his contact with the fourth </w:t>
      </w:r>
      <w:r w:rsidR="000A0E2D">
        <w:t>applicant in connection with Mr</w:t>
      </w:r>
      <w:r w:rsidR="00C10B84">
        <w:t xml:space="preserve"> </w:t>
      </w:r>
      <w:r w:rsidR="00F3192B">
        <w:t>Osman</w:t>
      </w:r>
      <w:r w:rsidR="005E7B7A">
        <w:t>’</w:t>
      </w:r>
      <w:r w:rsidR="00F3192B">
        <w:t>s escape after the bombings and Mr Osman gave evidence which largely reflected the contents of the fourth applicant</w:t>
      </w:r>
      <w:r w:rsidR="005E7B7A">
        <w:t>’</w:t>
      </w:r>
      <w:r w:rsidR="00F3192B">
        <w:t xml:space="preserve">s statement (see paragraph </w:t>
      </w:r>
      <w:r w:rsidR="00F3192B">
        <w:fldChar w:fldCharType="begin"/>
      </w:r>
      <w:r w:rsidR="00F3192B">
        <w:instrText xml:space="preserve"> REF AbdutrialSherifandOsmanev \h </w:instrText>
      </w:r>
      <w:r w:rsidR="00F3192B">
        <w:fldChar w:fldCharType="separate"/>
      </w:r>
      <w:r w:rsidR="00517F95">
        <w:rPr>
          <w:noProof/>
        </w:rPr>
        <w:t>125</w:t>
      </w:r>
      <w:r w:rsidR="00F3192B">
        <w:fldChar w:fldCharType="end"/>
      </w:r>
      <w:r w:rsidR="00F3192B">
        <w:t xml:space="preserve"> above). All this evidence was </w:t>
      </w:r>
      <w:r w:rsidR="00057FAC">
        <w:t xml:space="preserve">of itself </w:t>
      </w:r>
      <w:r w:rsidR="00F3192B">
        <w:t>clearly incriminating and tied the fourth applicant</w:t>
      </w:r>
      <w:r w:rsidR="000A0E2D">
        <w:t xml:space="preserve"> </w:t>
      </w:r>
      <w:r w:rsidR="00F3192B">
        <w:t>to Mr Osman</w:t>
      </w:r>
      <w:r w:rsidR="005E7B7A">
        <w:t>’</w:t>
      </w:r>
      <w:r w:rsidR="00F3192B">
        <w:t>s attempt to hide from the police and to flee the United Kingdom after the failed attacks.</w:t>
      </w:r>
    </w:p>
    <w:p w:rsidR="00F3192B" w:rsidRPr="00EF66BC" w:rsidRDefault="00F3192B" w:rsidP="00EF66BC">
      <w:pPr>
        <w:pStyle w:val="ECHRHeading6"/>
        <w:rPr>
          <w:b/>
        </w:rPr>
      </w:pPr>
      <w:r w:rsidRPr="00EF66BC">
        <w:rPr>
          <w:b/>
        </w:rPr>
        <w:t>(ζ</w:t>
      </w:r>
      <w:r w:rsidR="001928E7">
        <w:rPr>
          <w:b/>
        </w:rPr>
        <w:t>)  </w:t>
      </w:r>
      <w:r w:rsidRPr="00EF66BC">
        <w:rPr>
          <w:b/>
        </w:rPr>
        <w:t>Conclusion</w:t>
      </w:r>
    </w:p>
    <w:p w:rsidR="00B41F7B" w:rsidRDefault="00555E80" w:rsidP="00794888">
      <w:pPr>
        <w:pStyle w:val="JuPara"/>
      </w:pPr>
      <w:r>
        <w:fldChar w:fldCharType="begin"/>
      </w:r>
      <w:r>
        <w:instrText xml:space="preserve"> SEQ level0 \*arabic </w:instrText>
      </w:r>
      <w:r>
        <w:fldChar w:fldCharType="separate"/>
      </w:r>
      <w:r w:rsidR="00517F95">
        <w:rPr>
          <w:noProof/>
        </w:rPr>
        <w:t>224</w:t>
      </w:r>
      <w:r>
        <w:rPr>
          <w:noProof/>
        </w:rPr>
        <w:fldChar w:fldCharType="end"/>
      </w:r>
      <w:r w:rsidR="00B41F7B">
        <w:t xml:space="preserve">.  For </w:t>
      </w:r>
      <w:r w:rsidR="00F06C4B">
        <w:t>the</w:t>
      </w:r>
      <w:r w:rsidR="00B41F7B">
        <w:t xml:space="preserve"> reasons</w:t>
      </w:r>
      <w:r w:rsidR="00F06C4B">
        <w:t xml:space="preserve"> stated above (see paragraphs </w:t>
      </w:r>
      <w:r w:rsidR="00F06C4B">
        <w:fldChar w:fldCharType="begin"/>
      </w:r>
      <w:r w:rsidR="00F06C4B">
        <w:instrText xml:space="preserve"> REF Lfourthappundueprejstart \h </w:instrText>
      </w:r>
      <w:r w:rsidR="00F06C4B">
        <w:fldChar w:fldCharType="separate"/>
      </w:r>
      <w:r w:rsidR="00517F95">
        <w:rPr>
          <w:noProof/>
        </w:rPr>
        <w:t>215</w:t>
      </w:r>
      <w:r w:rsidR="00F06C4B">
        <w:fldChar w:fldCharType="end"/>
      </w:r>
      <w:r w:rsidR="00F06C4B">
        <w:t>-</w:t>
      </w:r>
      <w:r w:rsidR="00F06C4B">
        <w:fldChar w:fldCharType="begin"/>
      </w:r>
      <w:r w:rsidR="00F06C4B">
        <w:instrText xml:space="preserve"> REF Lfourthappundueprejend \h </w:instrText>
      </w:r>
      <w:r w:rsidR="00F06C4B">
        <w:fldChar w:fldCharType="separate"/>
      </w:r>
      <w:r w:rsidR="00517F95">
        <w:rPr>
          <w:noProof/>
        </w:rPr>
        <w:t>223</w:t>
      </w:r>
      <w:r w:rsidR="00F06C4B">
        <w:fldChar w:fldCharType="end"/>
      </w:r>
      <w:r w:rsidR="00F06C4B">
        <w:t>)</w:t>
      </w:r>
      <w:r w:rsidR="00B41F7B">
        <w:t>, the Court finds that</w:t>
      </w:r>
      <w:r w:rsidR="00794888">
        <w:t xml:space="preserve">, </w:t>
      </w:r>
      <w:r w:rsidR="00794888" w:rsidRPr="009868E1">
        <w:t xml:space="preserve">taken cumulatively, </w:t>
      </w:r>
      <w:r w:rsidR="00794888">
        <w:t>the fourth applicant</w:t>
      </w:r>
      <w:r w:rsidR="005E7B7A">
        <w:t>’</w:t>
      </w:r>
      <w:r w:rsidR="00794888">
        <w:t xml:space="preserve">s adoption of his statement after having received legal advice, </w:t>
      </w:r>
      <w:r w:rsidR="00C11E76">
        <w:t xml:space="preserve">the counterbalancing safeguards contained in the legislative framework and available at trial with a view to ensuring the fairness of the proceedings, including </w:t>
      </w:r>
      <w:r w:rsidR="00794888" w:rsidRPr="009868E1">
        <w:t>the trial judge</w:t>
      </w:r>
      <w:r w:rsidR="005E7B7A">
        <w:t>’</w:t>
      </w:r>
      <w:r w:rsidR="00794888" w:rsidRPr="009868E1">
        <w:t>s ruling on admissibility</w:t>
      </w:r>
      <w:r w:rsidR="00C11E76">
        <w:t>,</w:t>
      </w:r>
      <w:r w:rsidR="00794888" w:rsidRPr="009868E1">
        <w:t xml:space="preserve"> and the strength of the other prosecution evidence against the </w:t>
      </w:r>
      <w:r w:rsidR="00794888">
        <w:t>fourth applicant</w:t>
      </w:r>
      <w:r w:rsidR="00794888" w:rsidRPr="009868E1">
        <w:t xml:space="preserve"> mean that no undue prejudice can be held to have been caused to </w:t>
      </w:r>
      <w:r w:rsidR="00794888">
        <w:t>his</w:t>
      </w:r>
      <w:r w:rsidR="00794888" w:rsidRPr="009868E1">
        <w:t xml:space="preserve"> Article 6</w:t>
      </w:r>
      <w:r w:rsidR="00794888">
        <w:t xml:space="preserve"> § 1</w:t>
      </w:r>
      <w:r w:rsidR="00C11E76">
        <w:t xml:space="preserve"> right to a fair trial</w:t>
      </w:r>
      <w:r w:rsidR="00C11E76" w:rsidRPr="009868E1">
        <w:t xml:space="preserve"> </w:t>
      </w:r>
      <w:r w:rsidR="00794888" w:rsidRPr="009868E1">
        <w:t xml:space="preserve">as a result of the </w:t>
      </w:r>
      <w:r w:rsidR="00794888">
        <w:t>failure to caution him and provide him with access to a lawyer during his initial police interview</w:t>
      </w:r>
      <w:r w:rsidR="00C11E76">
        <w:t>, followed by</w:t>
      </w:r>
      <w:r w:rsidR="00794888">
        <w:t xml:space="preserve"> the </w:t>
      </w:r>
      <w:r w:rsidR="00794888" w:rsidRPr="009868E1">
        <w:t xml:space="preserve">admission of </w:t>
      </w:r>
      <w:r w:rsidR="00794888">
        <w:t xml:space="preserve">his statement </w:t>
      </w:r>
      <w:r w:rsidR="00794888" w:rsidRPr="009868E1">
        <w:t xml:space="preserve">at trial. Accordingly, it concludes that there has been no breach of Article 6 § 1 read in conjunction with Article 6 § 3 (c) of the Convention in respect of the </w:t>
      </w:r>
      <w:r w:rsidR="00794888">
        <w:t>fourth applicant</w:t>
      </w:r>
      <w:r w:rsidR="00794888" w:rsidRPr="009868E1">
        <w:t>.</w:t>
      </w:r>
    </w:p>
    <w:p w:rsidR="00F71A6A" w:rsidRPr="00555409" w:rsidRDefault="00C91245" w:rsidP="008824B9">
      <w:pPr>
        <w:pStyle w:val="ECHRTitle1"/>
      </w:pPr>
      <w:r>
        <w:t>FOR THESE REASONS, THE COURT:</w:t>
      </w:r>
    </w:p>
    <w:p w:rsidR="005F4E83" w:rsidRDefault="00E831BC" w:rsidP="00E831BC">
      <w:pPr>
        <w:pStyle w:val="JuList"/>
      </w:pPr>
      <w:r>
        <w:t>1</w:t>
      </w:r>
      <w:r w:rsidRPr="00555409">
        <w:t>.</w:t>
      </w:r>
      <w:r w:rsidR="00C91245">
        <w:t>  </w:t>
      </w:r>
      <w:r w:rsidR="005F4E83" w:rsidRPr="005F4E83">
        <w:rPr>
          <w:rStyle w:val="s6b621b36"/>
          <w:i/>
        </w:rPr>
        <w:t>Decides</w:t>
      </w:r>
      <w:r w:rsidR="005F4E83" w:rsidRPr="00555409">
        <w:t>,</w:t>
      </w:r>
      <w:r w:rsidR="00D9707C">
        <w:t xml:space="preserve"> </w:t>
      </w:r>
      <w:r w:rsidR="005F4E83" w:rsidRPr="00555409">
        <w:t>unanimously,</w:t>
      </w:r>
      <w:r w:rsidR="005F4E83">
        <w:t xml:space="preserve"> </w:t>
      </w:r>
      <w:r w:rsidR="005F4E83">
        <w:rPr>
          <w:rStyle w:val="sb8d990e2"/>
        </w:rPr>
        <w:t>to join the application of the fourth applicant to those of the first three applicants;</w:t>
      </w:r>
    </w:p>
    <w:p w:rsidR="005F4E83" w:rsidRDefault="005F4E83" w:rsidP="00E831BC">
      <w:pPr>
        <w:pStyle w:val="JuList"/>
      </w:pPr>
    </w:p>
    <w:p w:rsidR="00E831BC" w:rsidRDefault="005F4E83" w:rsidP="00E831BC">
      <w:pPr>
        <w:pStyle w:val="JuList"/>
      </w:pPr>
      <w:r>
        <w:t>2.</w:t>
      </w:r>
      <w:r w:rsidR="00C91245">
        <w:t>  </w:t>
      </w:r>
      <w:r w:rsidR="00E831BC" w:rsidRPr="00555409">
        <w:rPr>
          <w:i/>
        </w:rPr>
        <w:t>Declares</w:t>
      </w:r>
      <w:r w:rsidR="00E831BC" w:rsidRPr="00555409">
        <w:t xml:space="preserve"> </w:t>
      </w:r>
      <w:r w:rsidR="00570D09" w:rsidRPr="00555409">
        <w:t>admissible</w:t>
      </w:r>
      <w:r w:rsidR="00E831BC" w:rsidRPr="00555409">
        <w:t>,</w:t>
      </w:r>
      <w:r w:rsidR="00D9707C">
        <w:t xml:space="preserve"> </w:t>
      </w:r>
      <w:r w:rsidR="00E831BC" w:rsidRPr="00555409">
        <w:t xml:space="preserve">unanimously, the </w:t>
      </w:r>
      <w:r w:rsidR="00E831BC">
        <w:t>first three applicants</w:t>
      </w:r>
      <w:r w:rsidR="005E7B7A">
        <w:t>’</w:t>
      </w:r>
      <w:r w:rsidR="00E831BC">
        <w:t xml:space="preserve"> </w:t>
      </w:r>
      <w:r w:rsidR="00E831BC" w:rsidRPr="00555409">
        <w:t xml:space="preserve">complaint concerning </w:t>
      </w:r>
      <w:r w:rsidR="00E831BC">
        <w:t>their police interviews without access to a lawyer and the use of the evidence obtained from those interviews at trial</w:t>
      </w:r>
      <w:r w:rsidR="00E831BC" w:rsidRPr="00555409">
        <w:t>;</w:t>
      </w:r>
    </w:p>
    <w:p w:rsidR="00E831BC" w:rsidRPr="00555409" w:rsidRDefault="00E831BC" w:rsidP="00E831BC">
      <w:pPr>
        <w:pStyle w:val="JuList"/>
      </w:pPr>
    </w:p>
    <w:p w:rsidR="00F71A6A" w:rsidRPr="00555409" w:rsidRDefault="00600C15">
      <w:pPr>
        <w:pStyle w:val="JuList"/>
      </w:pPr>
      <w:r>
        <w:t>3</w:t>
      </w:r>
      <w:r w:rsidR="00F71A6A" w:rsidRPr="00555409">
        <w:t>.</w:t>
      </w:r>
      <w:r w:rsidR="00C91245">
        <w:t>  </w:t>
      </w:r>
      <w:r w:rsidR="00F71A6A" w:rsidRPr="00555409">
        <w:rPr>
          <w:i/>
        </w:rPr>
        <w:t>Declares</w:t>
      </w:r>
      <w:r w:rsidR="00555409" w:rsidRPr="00555409">
        <w:t>,</w:t>
      </w:r>
      <w:r w:rsidR="00D9707C">
        <w:t xml:space="preserve"> </w:t>
      </w:r>
      <w:r w:rsidR="00555409" w:rsidRPr="00555409">
        <w:t>unanimously,</w:t>
      </w:r>
      <w:r w:rsidR="002041E3" w:rsidRPr="00555409">
        <w:rPr>
          <w:color w:val="000000"/>
        </w:rPr>
        <w:t xml:space="preserve"> </w:t>
      </w:r>
      <w:r w:rsidR="00F71A6A" w:rsidRPr="00555409">
        <w:t xml:space="preserve">the </w:t>
      </w:r>
      <w:r w:rsidR="00E831BC">
        <w:t>fourth applicant</w:t>
      </w:r>
      <w:r w:rsidR="005E7B7A">
        <w:t>’</w:t>
      </w:r>
      <w:r w:rsidR="00E831BC">
        <w:t xml:space="preserve">s application </w:t>
      </w:r>
      <w:r w:rsidR="00F71A6A" w:rsidRPr="00555409">
        <w:t>admissible;</w:t>
      </w:r>
    </w:p>
    <w:p w:rsidR="00F71A6A" w:rsidRPr="00555409" w:rsidRDefault="00F71A6A">
      <w:pPr>
        <w:pStyle w:val="JuList"/>
      </w:pPr>
    </w:p>
    <w:p w:rsidR="009F07CC" w:rsidRPr="00555409" w:rsidRDefault="00600C15" w:rsidP="009F07CC">
      <w:pPr>
        <w:pStyle w:val="JuList"/>
      </w:pPr>
      <w:r>
        <w:t>4</w:t>
      </w:r>
      <w:r w:rsidR="009F07CC" w:rsidRPr="00555409">
        <w:t>.</w:t>
      </w:r>
      <w:r w:rsidR="00C91245">
        <w:t>  </w:t>
      </w:r>
      <w:r w:rsidR="00F71A6A" w:rsidRPr="00555409">
        <w:rPr>
          <w:i/>
        </w:rPr>
        <w:t>Holds</w:t>
      </w:r>
      <w:r w:rsidR="00555409" w:rsidRPr="00555409">
        <w:t>,</w:t>
      </w:r>
      <w:r w:rsidR="00D9707C">
        <w:t xml:space="preserve"> </w:t>
      </w:r>
      <w:r w:rsidR="00555409" w:rsidRPr="00555409">
        <w:t xml:space="preserve">by </w:t>
      </w:r>
      <w:r w:rsidR="00D9707C">
        <w:t xml:space="preserve">six </w:t>
      </w:r>
      <w:r w:rsidR="00555409" w:rsidRPr="00555409">
        <w:t>votes to</w:t>
      </w:r>
      <w:r w:rsidR="00D9707C">
        <w:t xml:space="preserve"> one</w:t>
      </w:r>
      <w:r w:rsidR="00555409" w:rsidRPr="00555409">
        <w:t>,</w:t>
      </w:r>
      <w:r w:rsidR="002A3A18" w:rsidRPr="00555409">
        <w:rPr>
          <w:color w:val="000000"/>
        </w:rPr>
        <w:t xml:space="preserve"> </w:t>
      </w:r>
      <w:r w:rsidR="00F71A6A" w:rsidRPr="00555409">
        <w:t>that there has been</w:t>
      </w:r>
      <w:r w:rsidR="00E831BC">
        <w:t xml:space="preserve"> no</w:t>
      </w:r>
      <w:r w:rsidR="00F71A6A" w:rsidRPr="00555409">
        <w:t xml:space="preserve"> violation of </w:t>
      </w:r>
      <w:r w:rsidR="00D9707C">
        <w:t>Article 6 § </w:t>
      </w:r>
      <w:r w:rsidR="00027154" w:rsidRPr="004134DF">
        <w:t xml:space="preserve">1 taken in conjunction with </w:t>
      </w:r>
      <w:r w:rsidR="00794888">
        <w:t>Article 6 §</w:t>
      </w:r>
      <w:r w:rsidR="00794888" w:rsidRPr="004134DF">
        <w:t xml:space="preserve"> </w:t>
      </w:r>
      <w:r w:rsidR="00027154" w:rsidRPr="004134DF">
        <w:t>3 (c)</w:t>
      </w:r>
      <w:r w:rsidR="00027154">
        <w:t xml:space="preserve"> </w:t>
      </w:r>
      <w:r w:rsidR="00EE2D46">
        <w:t xml:space="preserve">in </w:t>
      </w:r>
      <w:r w:rsidR="00965783">
        <w:t>respect of</w:t>
      </w:r>
      <w:r w:rsidR="00570D09">
        <w:t xml:space="preserve"> the first three applicants</w:t>
      </w:r>
      <w:r w:rsidR="005F4E83">
        <w:t>;</w:t>
      </w:r>
    </w:p>
    <w:p w:rsidR="00F71A6A" w:rsidRPr="00555409" w:rsidRDefault="00F71A6A">
      <w:pPr>
        <w:pStyle w:val="JuList"/>
      </w:pPr>
    </w:p>
    <w:p w:rsidR="00F71A6A" w:rsidRPr="00555409" w:rsidRDefault="00600C15" w:rsidP="006F796A">
      <w:pPr>
        <w:pStyle w:val="JuList"/>
      </w:pPr>
      <w:r>
        <w:t>5</w:t>
      </w:r>
      <w:r w:rsidR="00965783" w:rsidRPr="00555409">
        <w:t>.</w:t>
      </w:r>
      <w:r w:rsidR="00C91245">
        <w:t>  </w:t>
      </w:r>
      <w:r w:rsidR="00965783" w:rsidRPr="00555409">
        <w:rPr>
          <w:i/>
        </w:rPr>
        <w:t>Holds</w:t>
      </w:r>
      <w:r w:rsidR="00965783" w:rsidRPr="00555409">
        <w:t>,</w:t>
      </w:r>
      <w:r w:rsidR="00D9707C">
        <w:t xml:space="preserve"> </w:t>
      </w:r>
      <w:r w:rsidR="00965783" w:rsidRPr="00555409">
        <w:t>by</w:t>
      </w:r>
      <w:r w:rsidR="00D9707C">
        <w:t xml:space="preserve"> six</w:t>
      </w:r>
      <w:r w:rsidR="00965783" w:rsidRPr="00555409">
        <w:t xml:space="preserve"> votes to </w:t>
      </w:r>
      <w:r w:rsidR="00D9707C">
        <w:t>one</w:t>
      </w:r>
      <w:r w:rsidR="00965783" w:rsidRPr="00555409">
        <w:t>,</w:t>
      </w:r>
      <w:r w:rsidR="00965783" w:rsidRPr="00555409">
        <w:rPr>
          <w:color w:val="000000"/>
        </w:rPr>
        <w:t xml:space="preserve"> </w:t>
      </w:r>
      <w:r w:rsidR="00965783" w:rsidRPr="00555409">
        <w:t>that there has been</w:t>
      </w:r>
      <w:r w:rsidR="00965783">
        <w:t xml:space="preserve"> </w:t>
      </w:r>
      <w:r w:rsidR="006F796A">
        <w:t>no</w:t>
      </w:r>
      <w:r w:rsidR="00965783" w:rsidRPr="00555409">
        <w:t xml:space="preserve"> violation of </w:t>
      </w:r>
      <w:r w:rsidR="00661205">
        <w:t>Article 6 § </w:t>
      </w:r>
      <w:r w:rsidR="00027154" w:rsidRPr="004134DF">
        <w:t xml:space="preserve">1 taken in conjunction with </w:t>
      </w:r>
      <w:r w:rsidR="00794888">
        <w:t>Article 6 §</w:t>
      </w:r>
      <w:r w:rsidR="00794888" w:rsidRPr="004134DF">
        <w:t xml:space="preserve"> </w:t>
      </w:r>
      <w:r w:rsidR="00027154" w:rsidRPr="004134DF">
        <w:t>3 (c)</w:t>
      </w:r>
      <w:r w:rsidR="00027154">
        <w:t xml:space="preserve"> </w:t>
      </w:r>
      <w:r w:rsidR="00965783">
        <w:t xml:space="preserve">in respect of </w:t>
      </w:r>
      <w:r w:rsidR="00570D09">
        <w:t>the fourth applicant</w:t>
      </w:r>
      <w:r w:rsidR="006F796A">
        <w:t>.</w:t>
      </w:r>
    </w:p>
    <w:p w:rsidR="00325C2B" w:rsidRPr="00555409" w:rsidRDefault="00F71A6A" w:rsidP="00325C2B">
      <w:pPr>
        <w:pStyle w:val="JuParaLast"/>
      </w:pPr>
      <w:r w:rsidRPr="00555409">
        <w:t xml:space="preserve">Done in English, and notified in writing on </w:t>
      </w:r>
      <w:r w:rsidR="00661205">
        <w:t>16 December 2014</w:t>
      </w:r>
      <w:r w:rsidRPr="00555409">
        <w:t>, pursuant to Rule</w:t>
      </w:r>
      <w:r w:rsidR="0011665B" w:rsidRPr="00555409">
        <w:t xml:space="preserve"> </w:t>
      </w:r>
      <w:r w:rsidRPr="00555409">
        <w:t>77</w:t>
      </w:r>
      <w:r w:rsidR="0011665B" w:rsidRPr="00555409">
        <w:t xml:space="preserve"> </w:t>
      </w:r>
      <w:r w:rsidRPr="00555409">
        <w:t>§§</w:t>
      </w:r>
      <w:r w:rsidR="0011665B" w:rsidRPr="00555409">
        <w:t xml:space="preserve"> </w:t>
      </w:r>
      <w:r w:rsidRPr="00555409">
        <w:t>2 and</w:t>
      </w:r>
      <w:r w:rsidR="0011665B" w:rsidRPr="00555409">
        <w:t xml:space="preserve"> </w:t>
      </w:r>
      <w:r w:rsidRPr="00555409">
        <w:t>3 of the Rules of Court.</w:t>
      </w:r>
    </w:p>
    <w:p w:rsidR="0079187F" w:rsidRDefault="00325C2B" w:rsidP="00C01E1C">
      <w:pPr>
        <w:pStyle w:val="JuSigned"/>
        <w:keepNext/>
        <w:keepLines/>
      </w:pPr>
      <w:r w:rsidRPr="00555409">
        <w:tab/>
      </w:r>
      <w:r w:rsidR="00555409" w:rsidRPr="00555409">
        <w:t>Françoise Elens-Passos</w:t>
      </w:r>
      <w:r w:rsidR="00A8381C" w:rsidRPr="00555409">
        <w:tab/>
      </w:r>
      <w:r w:rsidR="00555409" w:rsidRPr="00555409">
        <w:rPr>
          <w:szCs w:val="24"/>
        </w:rPr>
        <w:t>Ineta Ziemele</w:t>
      </w:r>
      <w:r w:rsidR="00560D3E">
        <w:rPr>
          <w:szCs w:val="24"/>
        </w:rPr>
        <w:br/>
      </w:r>
      <w:r w:rsidR="00A8381C" w:rsidRPr="00555409">
        <w:tab/>
      </w:r>
      <w:r w:rsidR="00555409" w:rsidRPr="00555409">
        <w:rPr>
          <w:iCs/>
        </w:rPr>
        <w:t>Registrar</w:t>
      </w:r>
      <w:r w:rsidR="00A8381C" w:rsidRPr="00555409">
        <w:tab/>
        <w:t>President</w:t>
      </w:r>
    </w:p>
    <w:p w:rsidR="001928E7" w:rsidRPr="00A83F4D" w:rsidRDefault="001928E7">
      <w:pPr>
        <w:pStyle w:val="JuParaLast"/>
      </w:pPr>
      <w:r w:rsidRPr="00A83F4D">
        <w:t xml:space="preserve">In accordance with Article 45 § 2 of the Convention and Rule 74 § 2 of the Rules of Court, the </w:t>
      </w:r>
      <w:r w:rsidR="00AA3CE6">
        <w:t>dissenting</w:t>
      </w:r>
      <w:r w:rsidRPr="00A83F4D">
        <w:t xml:space="preserve"> opinion of Judge</w:t>
      </w:r>
      <w:r w:rsidR="00AA3CE6">
        <w:t xml:space="preserve"> </w:t>
      </w:r>
      <w:r w:rsidR="00FC79F5">
        <w:t>Kalaydjieva</w:t>
      </w:r>
      <w:r w:rsidRPr="00A83F4D">
        <w:t xml:space="preserve"> </w:t>
      </w:r>
      <w:r w:rsidR="00AA3CE6">
        <w:t>is</w:t>
      </w:r>
      <w:r w:rsidRPr="00A83F4D">
        <w:t xml:space="preserve"> annexed to this judgment.</w:t>
      </w:r>
    </w:p>
    <w:p w:rsidR="001928E7" w:rsidRPr="00A83F4D" w:rsidRDefault="001928E7" w:rsidP="00B34516">
      <w:pPr>
        <w:pStyle w:val="JuInitialled"/>
      </w:pPr>
      <w:r>
        <w:t>I.Z.</w:t>
      </w:r>
      <w:r w:rsidRPr="00A83F4D">
        <w:br/>
      </w:r>
      <w:r>
        <w:t>F.E.P.</w:t>
      </w:r>
    </w:p>
    <w:p w:rsidR="004D2719" w:rsidRDefault="004D2719" w:rsidP="001928E7">
      <w:pPr>
        <w:pStyle w:val="JuParaLast"/>
      </w:pPr>
    </w:p>
    <w:p w:rsidR="00560D3E" w:rsidRPr="00560D3E" w:rsidRDefault="00560D3E" w:rsidP="00560D3E">
      <w:pPr>
        <w:pStyle w:val="JuPara"/>
        <w:sectPr w:rsidR="00560D3E" w:rsidRPr="00560D3E" w:rsidSect="00C91245">
          <w:headerReference w:type="even" r:id="rId15"/>
          <w:headerReference w:type="default" r:id="rId16"/>
          <w:footnotePr>
            <w:numRestart w:val="eachPage"/>
          </w:footnotePr>
          <w:pgSz w:w="11906" w:h="16838" w:code="9"/>
          <w:pgMar w:top="2274" w:right="2274" w:bottom="2274" w:left="2274" w:header="1701" w:footer="720" w:gutter="0"/>
          <w:pgNumType w:start="1"/>
          <w:cols w:space="720"/>
          <w:docGrid w:linePitch="326"/>
        </w:sectPr>
      </w:pPr>
    </w:p>
    <w:p w:rsidR="00E05586" w:rsidRPr="004E32B7" w:rsidRDefault="00E05586" w:rsidP="00E05586">
      <w:pPr>
        <w:pStyle w:val="ECHRTitleCentre1"/>
      </w:pPr>
      <w:r w:rsidRPr="004E32B7">
        <w:t>DISSENTING OPINION OF JUDGE KALAYDJIEVA</w:t>
      </w:r>
    </w:p>
    <w:p w:rsidR="00E05586" w:rsidRPr="00E15549" w:rsidRDefault="00E05586" w:rsidP="00E05586">
      <w:pPr>
        <w:pStyle w:val="OpiPara"/>
        <w:rPr>
          <w:i/>
          <w:lang w:val="en-US"/>
        </w:rPr>
      </w:pPr>
      <w:r w:rsidRPr="00E15549">
        <w:t>The applicants in the present joined cases argued (see paragraph 169 of the judgment) that “the right to legal advice was not merely a protection against coercion and ill</w:t>
      </w:r>
      <w:r w:rsidRPr="00E15549">
        <w:noBreakHyphen/>
        <w:t xml:space="preserve">treatment: there was a clear link between the right to legal advice and the right against self-incrimination running through the case-law of the Court both before and after </w:t>
      </w:r>
      <w:r w:rsidRPr="00E15549">
        <w:rPr>
          <w:i/>
        </w:rPr>
        <w:t>Salduz</w:t>
      </w:r>
      <w:r w:rsidRPr="00E15549">
        <w:t>” (</w:t>
      </w:r>
      <w:r>
        <w:t xml:space="preserve">see </w:t>
      </w:r>
      <w:r w:rsidRPr="004E32B7">
        <w:rPr>
          <w:i/>
        </w:rPr>
        <w:t xml:space="preserve">Salduz v. Turkey </w:t>
      </w:r>
      <w:r w:rsidRPr="00E15549">
        <w:t>(</w:t>
      </w:r>
      <w:r w:rsidRPr="004E32B7">
        <w:t>[GC], no. 36391/02, ECHR 2008)</w:t>
      </w:r>
      <w:r w:rsidRPr="00E15549">
        <w:t>. They furthermore maintained (see paragraph 170) that “there was no relevance in the distinction drawn by the Government between telling lies and making incriminating admissions or staying silent ... Any such distinction had no basis in domestic law or the Court</w:t>
      </w:r>
      <w:r w:rsidR="005E7B7A">
        <w:t>’</w:t>
      </w:r>
      <w:r w:rsidRPr="00E15549">
        <w:t xml:space="preserve">s case-law”. The principles set out, in particular, in the case of </w:t>
      </w:r>
      <w:r w:rsidRPr="00E15549">
        <w:rPr>
          <w:i/>
        </w:rPr>
        <w:t>Saunders</w:t>
      </w:r>
      <w:r w:rsidRPr="00E15549">
        <w:t xml:space="preserve"> </w:t>
      </w:r>
      <w:r w:rsidRPr="00E15549">
        <w:rPr>
          <w:i/>
        </w:rPr>
        <w:t>v. the United Kingdom</w:t>
      </w:r>
      <w:r w:rsidRPr="00E15549">
        <w:t xml:space="preserve"> (17 December 1996, §</w:t>
      </w:r>
      <w:r w:rsidR="008A5F97">
        <w:t xml:space="preserve"> </w:t>
      </w:r>
      <w:r w:rsidRPr="00E15549">
        <w:t xml:space="preserve">71, </w:t>
      </w:r>
      <w:r w:rsidRPr="00E15549">
        <w:rPr>
          <w:i/>
        </w:rPr>
        <w:t xml:space="preserve">Reports </w:t>
      </w:r>
      <w:r w:rsidRPr="00E15549">
        <w:t>1996</w:t>
      </w:r>
      <w:r w:rsidRPr="00E15549">
        <w:noBreakHyphen/>
        <w:t>VI) “made it clear that the right not to incriminate oneself could not reasonably be confined to admissions”. In their view such a distinction “would have uncertain and unpredictable consequences”.</w:t>
      </w:r>
    </w:p>
    <w:p w:rsidR="00E05586" w:rsidRPr="00E15549" w:rsidRDefault="00E05586" w:rsidP="00E05586">
      <w:pPr>
        <w:pStyle w:val="OpiPara"/>
        <w:rPr>
          <w:lang w:val="en-US"/>
        </w:rPr>
      </w:pPr>
    </w:p>
    <w:p w:rsidR="00E05586" w:rsidRPr="00E15549" w:rsidRDefault="00E05586" w:rsidP="00E05586">
      <w:pPr>
        <w:pStyle w:val="OpiPara"/>
        <w:rPr>
          <w:i/>
          <w:szCs w:val="24"/>
          <w:lang w:val="en-US"/>
        </w:rPr>
      </w:pPr>
      <w:r w:rsidRPr="00E15549">
        <w:t xml:space="preserve">I regret the fact that the majority of my learned colleagues seem to have failed to address these complaints jointly as raised by the applicants. As in </w:t>
      </w:r>
      <w:r w:rsidRPr="004E32B7">
        <w:rPr>
          <w:i/>
        </w:rPr>
        <w:t>Gäfgen v. Germany</w:t>
      </w:r>
      <w:r w:rsidRPr="004E32B7">
        <w:t xml:space="preserve"> ([GC], no. 22978/05, ECHR 2010), </w:t>
      </w:r>
      <w:r w:rsidRPr="00E15549">
        <w:t>the complaints of insufficient safeguards for the privilege against self-incrimination were separate</w:t>
      </w:r>
      <w:r>
        <w:t>d</w:t>
      </w:r>
      <w:r w:rsidRPr="00E15549">
        <w:t xml:space="preserve"> from the allegations that the police had deliberately impeded access to defence lawyers until after the applicants </w:t>
      </w:r>
      <w:r>
        <w:t>had been</w:t>
      </w:r>
      <w:r w:rsidRPr="00E15549">
        <w:t xml:space="preserve"> questioned and </w:t>
      </w:r>
      <w:r>
        <w:t xml:space="preserve">had </w:t>
      </w:r>
      <w:r w:rsidRPr="00E15549">
        <w:t>made statements concerning the offences of which they were suspected.</w:t>
      </w:r>
    </w:p>
    <w:p w:rsidR="00E05586" w:rsidRPr="00E15549" w:rsidRDefault="00E05586" w:rsidP="00E05586">
      <w:pPr>
        <w:pStyle w:val="OpiPara"/>
        <w:rPr>
          <w:lang w:val="en-US"/>
        </w:rPr>
      </w:pPr>
    </w:p>
    <w:p w:rsidR="00E05586" w:rsidRPr="00E15549" w:rsidRDefault="00E05586" w:rsidP="00E05586">
      <w:pPr>
        <w:pStyle w:val="OpiPara"/>
        <w:rPr>
          <w:lang w:val="en-US"/>
        </w:rPr>
      </w:pPr>
      <w:r w:rsidRPr="00E15549">
        <w:t xml:space="preserve">While the case-law of this Court sees the privilege against self-incrimination as one of the basic principles of Article 6 of the Convention, there is little doubt that the “minimum right to legal assistance” enshrined in Article 6 § 3 (c) serves as one of the basic guarantees for the protection of this privilege. </w:t>
      </w:r>
      <w:r>
        <w:t>In the present case, t</w:t>
      </w:r>
      <w:r w:rsidRPr="00E15549">
        <w:t>he majority agreed</w:t>
      </w:r>
      <w:r>
        <w:t xml:space="preserve"> with </w:t>
      </w:r>
      <w:r w:rsidRPr="00E15549">
        <w:t>the domestic authorities and the Government that “the police were concerned that access to legal advice would lead to the alerting of</w:t>
      </w:r>
      <w:r w:rsidR="00BC768A">
        <w:t xml:space="preserve"> other suspects” (see paragraph </w:t>
      </w:r>
      <w:r w:rsidRPr="00E15549">
        <w:t>201) and were satisfied that</w:t>
      </w:r>
      <w:r>
        <w:t>,</w:t>
      </w:r>
      <w:r w:rsidRPr="00E15549">
        <w:t xml:space="preserve"> at the time of the “safety interviews”</w:t>
      </w:r>
      <w:r>
        <w:t>,</w:t>
      </w:r>
      <w:r w:rsidRPr="00E15549">
        <w:t xml:space="preserve"> the delayed access to legal advice was justified by “the need to obtain, as a matter of critical urgency, information on any further planned attacks and the identities of those potentially involved in the plot, while ensuring that the integrity of the investigation was not compromised by leaks”, a need which “was clearly of the utmost compelling nature” (see paragraph 200). While I am fully aware of the difficult and urgent situation, which called for “safety interviews” for the purposes of obtaining information</w:t>
      </w:r>
      <w:r>
        <w:t xml:space="preserve"> that was </w:t>
      </w:r>
      <w:r w:rsidRPr="005B1452">
        <w:t>urgently necessary</w:t>
      </w:r>
      <w:r>
        <w:t xml:space="preserve"> to </w:t>
      </w:r>
      <w:r w:rsidRPr="00E15549">
        <w:t xml:space="preserve">remove </w:t>
      </w:r>
      <w:r>
        <w:t xml:space="preserve">imminent </w:t>
      </w:r>
      <w:r w:rsidRPr="00E15549">
        <w:t>danger and save the lives of many, I find myself unable to follow the argument that preventing access to a lawyer may be justified for the purposes of “ensuring that the integrity of the investigation was not compromised by leaks”. This argument appears to be broadly dismissive of the very essence of the right guaranteed by Article</w:t>
      </w:r>
      <w:r w:rsidR="00BC768A">
        <w:t xml:space="preserve"> </w:t>
      </w:r>
      <w:r w:rsidRPr="00E15549">
        <w:t>6</w:t>
      </w:r>
      <w:r w:rsidR="00BC768A">
        <w:t xml:space="preserve"> </w:t>
      </w:r>
      <w:r w:rsidRPr="00E15549">
        <w:t>§</w:t>
      </w:r>
      <w:r w:rsidR="00BC768A">
        <w:t xml:space="preserve"> </w:t>
      </w:r>
      <w:r w:rsidRPr="00E15549">
        <w:t>3 (c)</w:t>
      </w:r>
      <w:r>
        <w:t xml:space="preserve">, being </w:t>
      </w:r>
      <w:r w:rsidRPr="00E15549">
        <w:t>potentially applicable to any investigation proceedings</w:t>
      </w:r>
      <w:r>
        <w:t>,</w:t>
      </w:r>
      <w:r w:rsidRPr="00E15549">
        <w:t xml:space="preserve"> and reflects a generalised view that lawyers constitute a threat to justice by definition.</w:t>
      </w:r>
    </w:p>
    <w:p w:rsidR="00E05586" w:rsidRDefault="00E05586" w:rsidP="00E05586">
      <w:pPr>
        <w:pStyle w:val="OpiPara"/>
        <w:rPr>
          <w:lang w:val="en-US"/>
        </w:rPr>
      </w:pPr>
    </w:p>
    <w:p w:rsidR="00E05586" w:rsidRPr="00E15549" w:rsidRDefault="00E05586" w:rsidP="00E05586">
      <w:pPr>
        <w:pStyle w:val="OpiPara"/>
        <w:rPr>
          <w:lang w:val="en-US"/>
        </w:rPr>
      </w:pPr>
      <w:r w:rsidRPr="00E15549">
        <w:t xml:space="preserve">I also regret that there is no analysis as to whether or not the situation with which the applicants were confronted </w:t>
      </w:r>
      <w:r>
        <w:t xml:space="preserve">during the “safety interviews” </w:t>
      </w:r>
      <w:r w:rsidRPr="00E15549">
        <w:t xml:space="preserve">– </w:t>
      </w:r>
      <w:r w:rsidRPr="005B1452">
        <w:t>the applicable legal framework</w:t>
      </w:r>
      <w:r>
        <w:t xml:space="preserve">, which appears to leave no space for the right to remain silent, </w:t>
      </w:r>
      <w:r w:rsidRPr="005B1452">
        <w:t>the erroneous or omitted cautions against self-incrimination</w:t>
      </w:r>
      <w:r>
        <w:t>,</w:t>
      </w:r>
      <w:r w:rsidRPr="009E253F">
        <w:t xml:space="preserve"> </w:t>
      </w:r>
      <w:r w:rsidRPr="00E15549">
        <w:t xml:space="preserve">taken together with the absence of legal assistance –, amounted to </w:t>
      </w:r>
      <w:r>
        <w:t>“</w:t>
      </w:r>
      <w:r w:rsidRPr="00E15549">
        <w:t>coercion or oppression in defiance of the suspect</w:t>
      </w:r>
      <w:r w:rsidR="005E7B7A">
        <w:t>’</w:t>
      </w:r>
      <w:r w:rsidRPr="00E15549">
        <w:t>s will</w:t>
      </w:r>
      <w:r>
        <w:t>”</w:t>
      </w:r>
      <w:r w:rsidRPr="00E15549">
        <w:t>. A proper analysis of this situation may lead to the conclusion that</w:t>
      </w:r>
      <w:r>
        <w:t>,</w:t>
      </w:r>
      <w:r w:rsidRPr="00E15549">
        <w:t xml:space="preserve"> taken together, these circumstanc</w:t>
      </w:r>
      <w:r>
        <w:t>es inevitably trap suspects in</w:t>
      </w:r>
      <w:r w:rsidRPr="00E15549">
        <w:t xml:space="preserve"> a situation where both their silence and their lies may be lawfully interpreted to their detriment, thus leaving space only for confession. The compatibility of this situation with the principles in </w:t>
      </w:r>
      <w:r w:rsidRPr="00E15549">
        <w:rPr>
          <w:i/>
        </w:rPr>
        <w:t>Saunders</w:t>
      </w:r>
      <w:r w:rsidRPr="00E15549">
        <w:t xml:space="preserve"> is questionable. It appears that in this regard the majority were satisfied with the observation that they were neither arrested, nor subjected to any ill-treatment. I am not convinced that this suffices for the purposes of ruling out “coercion” within the meaning of the Court</w:t>
      </w:r>
      <w:r w:rsidR="005E7B7A">
        <w:t>’</w:t>
      </w:r>
      <w:r w:rsidRPr="00E15549">
        <w:t xml:space="preserve">s case-law. In this regard </w:t>
      </w:r>
      <w:r>
        <w:t>I would simply</w:t>
      </w:r>
      <w:r w:rsidRPr="00E15549">
        <w:t xml:space="preserve"> mention the principles reiterated in </w:t>
      </w:r>
      <w:r w:rsidRPr="00E15549">
        <w:rPr>
          <w:i/>
        </w:rPr>
        <w:t xml:space="preserve">Gäfgen </w:t>
      </w:r>
      <w:r w:rsidRPr="00E15549">
        <w:t>(</w:t>
      </w:r>
      <w:r w:rsidRPr="004E32B7">
        <w:rPr>
          <w:rStyle w:val="JuParaCar"/>
        </w:rPr>
        <w:t>cited above</w:t>
      </w:r>
      <w:r w:rsidRPr="00E15549">
        <w:t xml:space="preserve">, § 168) where, with regard to “the use of evidence obtained in breach of the right to silence and the privilege against self-incrimination, the Court reiterate[d] that these [were] generally recognised international standards which [lay] at the heart of the notion of fair procedures under Article 6”. </w:t>
      </w:r>
      <w:r>
        <w:t xml:space="preserve">The </w:t>
      </w:r>
      <w:r w:rsidRPr="004E32B7">
        <w:rPr>
          <w:lang w:eastAsia="en-US"/>
        </w:rPr>
        <w:t>Grand Chamber</w:t>
      </w:r>
      <w:r w:rsidRPr="00E15549">
        <w:t xml:space="preserve"> continued as follows:</w:t>
      </w:r>
    </w:p>
    <w:p w:rsidR="00E05586" w:rsidRPr="00E15549" w:rsidRDefault="00E05586" w:rsidP="00E05586">
      <w:pPr>
        <w:pStyle w:val="OpiQuot"/>
        <w:rPr>
          <w:lang w:val="en-US"/>
        </w:rPr>
      </w:pPr>
      <w:r>
        <w:t>“</w:t>
      </w:r>
      <w:r w:rsidRPr="00E15549">
        <w:t xml:space="preserve">Their rationale lies, </w:t>
      </w:r>
      <w:r w:rsidRPr="00E15549">
        <w:rPr>
          <w:i/>
        </w:rPr>
        <w:t>inter alia</w:t>
      </w:r>
      <w:r w:rsidRPr="00E15549">
        <w:t xml:space="preserve">, in the protection of the accused against improper compulsion by the authorities, thereby contributing to the avoidance of miscarriages of justice and to the fulfilment of the aims of Article 6. The right not to incriminate oneself, in particular, presupposes that the prosecution in a criminal case seek to prove their case against the accused without resort to evidence obtained through methods of coercion or oppression in defiance of the will of the accused (see, </w:t>
      </w:r>
      <w:r w:rsidRPr="00E15549">
        <w:rPr>
          <w:i/>
        </w:rPr>
        <w:t>inter alia</w:t>
      </w:r>
      <w:r w:rsidRPr="00E15549">
        <w:t>, S</w:t>
      </w:r>
      <w:r w:rsidRPr="00E15549">
        <w:rPr>
          <w:i/>
        </w:rPr>
        <w:t>aunders v. the United Kingdom</w:t>
      </w:r>
      <w:r w:rsidRPr="00E15549">
        <w:t xml:space="preserve"> [GC], 17 December 1996, § 68, </w:t>
      </w:r>
      <w:r w:rsidRPr="00E15549">
        <w:rPr>
          <w:i/>
        </w:rPr>
        <w:t>Reports</w:t>
      </w:r>
      <w:r w:rsidRPr="00E15549">
        <w:t xml:space="preserve"> 1996-VI; </w:t>
      </w:r>
      <w:r w:rsidRPr="00E15549">
        <w:rPr>
          <w:i/>
        </w:rPr>
        <w:t>Heaney and McGuinness v. Ireland</w:t>
      </w:r>
      <w:r w:rsidRPr="00E15549">
        <w:t xml:space="preserve">, no. 34720/97, § 40, ECHR 2000-XII; and the judgment in </w:t>
      </w:r>
      <w:r w:rsidRPr="00E15549">
        <w:rPr>
          <w:i/>
        </w:rPr>
        <w:t>Jalloh</w:t>
      </w:r>
      <w:r w:rsidRPr="00E15549">
        <w:t>, cited above, § 100).”</w:t>
      </w:r>
    </w:p>
    <w:p w:rsidR="00E05586" w:rsidRPr="00E15549" w:rsidRDefault="00E05586" w:rsidP="00E05586">
      <w:pPr>
        <w:pStyle w:val="OpiPara"/>
        <w:rPr>
          <w:lang w:val="en-US"/>
        </w:rPr>
      </w:pPr>
    </w:p>
    <w:p w:rsidR="00E05586" w:rsidRPr="00E15549" w:rsidRDefault="00E05586" w:rsidP="00E05586">
      <w:pPr>
        <w:pStyle w:val="OpiPara"/>
        <w:rPr>
          <w:lang w:val="en-US"/>
        </w:rPr>
      </w:pPr>
      <w:r w:rsidRPr="00E15549">
        <w:t xml:space="preserve">Finally, the case raises yet again the issue of appropriate remedies in cases of infringement of the privilege against self-incrimination. Instead of clarifying the scope of this privilege and the appropriate remedies for its infringement, in the case of </w:t>
      </w:r>
      <w:r w:rsidRPr="00E15549">
        <w:rPr>
          <w:i/>
        </w:rPr>
        <w:t>Gäfgen</w:t>
      </w:r>
      <w:r w:rsidRPr="00E15549">
        <w:t xml:space="preserve"> the Grand Chamber focused its examination </w:t>
      </w:r>
      <w:r>
        <w:t>on</w:t>
      </w:r>
      <w:r w:rsidRPr="00E15549">
        <w:t xml:space="preserve"> the Article 3 aspects of the case, </w:t>
      </w:r>
      <w:r>
        <w:t>albeit</w:t>
      </w:r>
      <w:r w:rsidRPr="00E15549">
        <w:t xml:space="preserve"> noting the provisions of other international instruments and the views of other courts concerning the “exclusionary rule” established for the protection of the privilege against self-incrimination. In this regard the </w:t>
      </w:r>
      <w:r w:rsidRPr="004E32B7">
        <w:rPr>
          <w:lang w:eastAsia="en-US"/>
        </w:rPr>
        <w:t>Grand Chamber</w:t>
      </w:r>
      <w:r w:rsidRPr="00E15549">
        <w:t xml:space="preserve"> admitted that “in its case-law to date, it has not yet settled the question whether the use of such evidence will always render a trial unfair, that is, irrespective of other circumstances of the case</w:t>
      </w:r>
      <w:r>
        <w:t>”</w:t>
      </w:r>
      <w:r w:rsidRPr="00E15549">
        <w:t>.</w:t>
      </w:r>
    </w:p>
    <w:p w:rsidR="00E05586" w:rsidRPr="00E15549" w:rsidRDefault="00E05586" w:rsidP="00E05586">
      <w:pPr>
        <w:pStyle w:val="OpiPara"/>
        <w:rPr>
          <w:lang w:val="en-US"/>
        </w:rPr>
      </w:pPr>
    </w:p>
    <w:p w:rsidR="00E05586" w:rsidRPr="00E15549" w:rsidRDefault="00E05586" w:rsidP="00E05586">
      <w:pPr>
        <w:pStyle w:val="OpiPara"/>
        <w:rPr>
          <w:lang w:val="en-US"/>
        </w:rPr>
      </w:pPr>
      <w:r w:rsidRPr="00E15549">
        <w:t>Having found that</w:t>
      </w:r>
      <w:r>
        <w:t>,</w:t>
      </w:r>
      <w:r w:rsidRPr="00E15549">
        <w:t xml:space="preserve"> in breach of the law, the fourth applicant Mr Ismail Abdurahman </w:t>
      </w:r>
      <w:r>
        <w:t>had been</w:t>
      </w:r>
      <w:r w:rsidRPr="00E15549">
        <w:t xml:space="preserve"> deliberately questioned without </w:t>
      </w:r>
      <w:r>
        <w:t xml:space="preserve">a </w:t>
      </w:r>
      <w:r w:rsidRPr="00E15549">
        <w:t>proper caution against self-incrimination, the majority deemed it sufficient that this “did not give rise to undue prejudice to his defence rights” and in fact left the assessment of appropriate remedies to the national criminal courts.</w:t>
      </w:r>
    </w:p>
    <w:p w:rsidR="00E05586" w:rsidRPr="00E15549" w:rsidRDefault="00E05586" w:rsidP="00E05586">
      <w:pPr>
        <w:pStyle w:val="OpiPara"/>
        <w:rPr>
          <w:lang w:val="en-US"/>
        </w:rPr>
      </w:pPr>
    </w:p>
    <w:p w:rsidR="00E05586" w:rsidRPr="00E15549" w:rsidRDefault="00E05586" w:rsidP="00E05586">
      <w:pPr>
        <w:pStyle w:val="OpiPara"/>
        <w:rPr>
          <w:lang w:val="en-US"/>
        </w:rPr>
      </w:pPr>
      <w:r>
        <w:t>In f</w:t>
      </w:r>
      <w:r w:rsidRPr="00E15549">
        <w:t>ailing to analyse both whether the circumstances in the first three cases amounted to coercion to self-incrimination and what the appropriate remedies</w:t>
      </w:r>
      <w:r>
        <w:t xml:space="preserve"> should be</w:t>
      </w:r>
      <w:r w:rsidRPr="00E15549">
        <w:t xml:space="preserve"> in established circumstances of self-incrimination</w:t>
      </w:r>
      <w:r>
        <w:t>,</w:t>
      </w:r>
      <w:r w:rsidRPr="00E15549">
        <w:t xml:space="preserve"> </w:t>
      </w:r>
      <w:r>
        <w:t xml:space="preserve">i.e. </w:t>
      </w:r>
      <w:r w:rsidRPr="00E15549">
        <w:t>in the case of the fourth applicant</w:t>
      </w:r>
      <w:r>
        <w:t>,</w:t>
      </w:r>
      <w:r w:rsidRPr="00E15549">
        <w:t xml:space="preserve"> under the Convention rather than domestic law standards, I ask myself whether this Court</w:t>
      </w:r>
      <w:r w:rsidR="005E7B7A">
        <w:t>’</w:t>
      </w:r>
      <w:r w:rsidRPr="00E15549">
        <w:t xml:space="preserve">s scrutiny was at all necessary </w:t>
      </w:r>
      <w:r>
        <w:t>or</w:t>
      </w:r>
      <w:r w:rsidRPr="00E15549">
        <w:t xml:space="preserve"> appropriate, or </w:t>
      </w:r>
      <w:r>
        <w:t xml:space="preserve">was it </w:t>
      </w:r>
      <w:r w:rsidRPr="00E15549">
        <w:t>in fact redundant</w:t>
      </w:r>
      <w:r>
        <w:t>,</w:t>
      </w:r>
      <w:r w:rsidRPr="00E15549">
        <w:t xml:space="preserve"> </w:t>
      </w:r>
      <w:r>
        <w:t xml:space="preserve">as </w:t>
      </w:r>
      <w:r w:rsidRPr="00E15549">
        <w:t>falling outside the scope of the Court</w:t>
      </w:r>
      <w:r w:rsidR="005E7B7A">
        <w:t>’</w:t>
      </w:r>
      <w:r w:rsidRPr="00E15549">
        <w:t xml:space="preserve">s competence </w:t>
      </w:r>
      <w:r>
        <w:t>and even encroaching upon</w:t>
      </w:r>
      <w:r w:rsidRPr="00E15549">
        <w:t xml:space="preserve"> the domestic authorities</w:t>
      </w:r>
      <w:r w:rsidR="005E7B7A">
        <w:t>’</w:t>
      </w:r>
      <w:r w:rsidRPr="00E15549">
        <w:t xml:space="preserve"> margin of appreciation?</w:t>
      </w:r>
    </w:p>
    <w:sectPr w:rsidR="00E05586" w:rsidRPr="00E15549">
      <w:headerReference w:type="even" r:id="rId17"/>
      <w:headerReference w:type="default" r:id="rId18"/>
      <w:footnotePr>
        <w:numRestart w:val="eachPage"/>
      </w:footnotePr>
      <w:pgSz w:w="11906" w:h="16838"/>
      <w:pgMar w:top="2274" w:right="2274" w:bottom="2274" w:left="2274" w:header="1701"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A7" w:rsidRDefault="00D217A7">
      <w:r>
        <w:separator/>
      </w:r>
    </w:p>
  </w:endnote>
  <w:endnote w:type="continuationSeparator" w:id="0">
    <w:p w:rsidR="00D217A7" w:rsidRDefault="00D2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A7" w:rsidRPr="00150BFA" w:rsidRDefault="00D217A7" w:rsidP="00C91245">
    <w:pPr>
      <w:jc w:val="center"/>
    </w:pPr>
    <w:r>
      <w:rPr>
        <w:noProof/>
        <w:lang w:val="fr-FR"/>
      </w:rPr>
      <w:drawing>
        <wp:inline distT="0" distB="0" distL="0" distR="0" wp14:anchorId="5FF404BF" wp14:editId="2F66FC4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217A7" w:rsidRDefault="00D217A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A7" w:rsidRDefault="00D217A7">
      <w:r>
        <w:separator/>
      </w:r>
    </w:p>
  </w:footnote>
  <w:footnote w:type="continuationSeparator" w:id="0">
    <w:p w:rsidR="00D217A7" w:rsidRDefault="00D217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A7" w:rsidRDefault="00D217A7" w:rsidP="00C91245">
    <w:pPr>
      <w:pStyle w:val="ECHR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A7" w:rsidRPr="00A45145" w:rsidRDefault="00D217A7" w:rsidP="00C91245">
    <w:pPr>
      <w:jc w:val="center"/>
    </w:pPr>
    <w:r>
      <w:rPr>
        <w:noProof/>
        <w:lang w:val="fr-FR"/>
      </w:rPr>
      <w:drawing>
        <wp:inline distT="0" distB="0" distL="0" distR="0" wp14:anchorId="3B77F4D3" wp14:editId="03F8196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217A7" w:rsidRDefault="00D217A7">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A7" w:rsidRDefault="00D217A7" w:rsidP="004E08CB">
    <w:pPr>
      <w:pStyle w:val="ECHRHeader"/>
    </w:pPr>
    <w:r>
      <w:rPr>
        <w:rStyle w:val="Numrodepage"/>
      </w:rPr>
      <w:fldChar w:fldCharType="begin"/>
    </w:r>
    <w:r>
      <w:rPr>
        <w:rStyle w:val="Numrodepage"/>
      </w:rPr>
      <w:instrText xml:space="preserve"> PAGE </w:instrText>
    </w:r>
    <w:r>
      <w:rPr>
        <w:rStyle w:val="Numrodepage"/>
      </w:rPr>
      <w:fldChar w:fldCharType="separate"/>
    </w:r>
    <w:r w:rsidR="00555E80">
      <w:rPr>
        <w:rStyle w:val="Numrodepage"/>
        <w:noProof/>
      </w:rPr>
      <w:t>46</w:t>
    </w:r>
    <w:r>
      <w:rPr>
        <w:rStyle w:val="Numrodepage"/>
      </w:rPr>
      <w:fldChar w:fldCharType="end"/>
    </w:r>
    <w:r>
      <w:tab/>
      <w:t>IBRAHIM AND OTHERS v. THE UNITED KINGDOM JUDGMENT</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A7" w:rsidRDefault="00D217A7" w:rsidP="004E08CB">
    <w:pPr>
      <w:pStyle w:val="ECHRHeader"/>
    </w:pPr>
    <w:r>
      <w:tab/>
      <w:t>IBRAHIM AND OTHERS v. THE UNITED KINGDOM JUDGMENT</w:t>
    </w:r>
    <w:r>
      <w:tab/>
    </w:r>
    <w:r>
      <w:rPr>
        <w:rStyle w:val="Numrodepage"/>
      </w:rPr>
      <w:fldChar w:fldCharType="begin"/>
    </w:r>
    <w:r>
      <w:rPr>
        <w:rStyle w:val="Numrodepage"/>
      </w:rPr>
      <w:instrText xml:space="preserve"> PAGE </w:instrText>
    </w:r>
    <w:r>
      <w:rPr>
        <w:rStyle w:val="Numrodepage"/>
      </w:rPr>
      <w:fldChar w:fldCharType="separate"/>
    </w:r>
    <w:r w:rsidR="00555E80">
      <w:rPr>
        <w:rStyle w:val="Numrodepage"/>
        <w:noProof/>
      </w:rPr>
      <w:t>45</w:t>
    </w:r>
    <w:r>
      <w:rPr>
        <w:rStyle w:val="Numrodepage"/>
      </w:rP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86" w:rsidRDefault="008A5F97" w:rsidP="00641EC2">
    <w:pPr>
      <w:pStyle w:val="ECHRHeader"/>
      <w:rPr>
        <w:lang w:val="en-US"/>
      </w:rPr>
    </w:pPr>
    <w:r>
      <w:rPr>
        <w:rStyle w:val="Numrodepage"/>
      </w:rPr>
      <w:fldChar w:fldCharType="begin"/>
    </w:r>
    <w:r w:rsidRPr="007C1B9D">
      <w:rPr>
        <w:rStyle w:val="Numrodepage"/>
        <w:lang w:val="en-US"/>
      </w:rPr>
      <w:instrText xml:space="preserve"> PAGE </w:instrText>
    </w:r>
    <w:r>
      <w:rPr>
        <w:rStyle w:val="Numrodepage"/>
      </w:rPr>
      <w:fldChar w:fldCharType="separate"/>
    </w:r>
    <w:r w:rsidR="005E7B7A">
      <w:rPr>
        <w:rStyle w:val="Numrodepage"/>
        <w:noProof/>
        <w:lang w:val="en-US"/>
      </w:rPr>
      <w:t>56</w:t>
    </w:r>
    <w:r>
      <w:rPr>
        <w:rStyle w:val="Numrodepage"/>
      </w:rPr>
      <w:fldChar w:fldCharType="end"/>
    </w:r>
    <w:r w:rsidRPr="007C1B9D">
      <w:rPr>
        <w:lang w:val="en-US"/>
      </w:rPr>
      <w:tab/>
      <w:t xml:space="preserve">IBRAHIM </w:t>
    </w:r>
    <w:r w:rsidR="00E05586">
      <w:rPr>
        <w:lang w:val="en-US"/>
      </w:rPr>
      <w:t xml:space="preserve">AND OTHERS </w:t>
    </w:r>
    <w:r w:rsidRPr="007C1B9D">
      <w:rPr>
        <w:lang w:val="en-US"/>
      </w:rPr>
      <w:t>v. THE UNITED KINGDOM JUDGMENT</w:t>
    </w:r>
  </w:p>
  <w:p w:rsidR="00DA4CAF" w:rsidRPr="007C1B9D" w:rsidRDefault="008A5F97" w:rsidP="00E05586">
    <w:pPr>
      <w:pStyle w:val="ECHRHeader"/>
      <w:jc w:val="center"/>
      <w:rPr>
        <w:lang w:val="en-US"/>
      </w:rPr>
    </w:pPr>
    <w:r w:rsidRPr="007C1B9D">
      <w:rPr>
        <w:lang w:val="en-US"/>
      </w:rPr>
      <w:t>– SEPARATE OPINION</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86" w:rsidRPr="007C1B9D" w:rsidRDefault="008A5F97" w:rsidP="00E05586">
    <w:pPr>
      <w:pStyle w:val="ECHRHeader"/>
      <w:rPr>
        <w:lang w:val="en-US"/>
      </w:rPr>
    </w:pPr>
    <w:r>
      <w:tab/>
    </w:r>
    <w:r w:rsidRPr="007C1B9D">
      <w:rPr>
        <w:lang w:val="en-US"/>
      </w:rPr>
      <w:t>IBRAHIM</w:t>
    </w:r>
    <w:r w:rsidR="00E05586">
      <w:rPr>
        <w:lang w:val="en-US"/>
      </w:rPr>
      <w:t xml:space="preserve"> AND OTHERS</w:t>
    </w:r>
    <w:r w:rsidRPr="007C1B9D">
      <w:rPr>
        <w:lang w:val="en-US"/>
      </w:rPr>
      <w:t xml:space="preserve"> v. THE UNITED KINGDOM JUDGMENT</w:t>
    </w:r>
    <w:r w:rsidR="00E05586" w:rsidRPr="007C1B9D">
      <w:rPr>
        <w:lang w:val="en-US"/>
      </w:rPr>
      <w:tab/>
    </w:r>
    <w:r w:rsidR="00E05586">
      <w:rPr>
        <w:rStyle w:val="Numrodepage"/>
      </w:rPr>
      <w:fldChar w:fldCharType="begin"/>
    </w:r>
    <w:r w:rsidR="00E05586" w:rsidRPr="007C1B9D">
      <w:rPr>
        <w:rStyle w:val="Numrodepage"/>
        <w:lang w:val="en-US"/>
      </w:rPr>
      <w:instrText xml:space="preserve"> PAGE </w:instrText>
    </w:r>
    <w:r w:rsidR="00E05586">
      <w:rPr>
        <w:rStyle w:val="Numrodepage"/>
      </w:rPr>
      <w:fldChar w:fldCharType="separate"/>
    </w:r>
    <w:r w:rsidR="005E7B7A">
      <w:rPr>
        <w:rStyle w:val="Numrodepage"/>
        <w:noProof/>
        <w:lang w:val="en-US"/>
      </w:rPr>
      <w:t>57</w:t>
    </w:r>
    <w:r w:rsidR="00E05586">
      <w:rPr>
        <w:rStyle w:val="Numrodepage"/>
      </w:rPr>
      <w:fldChar w:fldCharType="end"/>
    </w:r>
  </w:p>
  <w:p w:rsidR="00DA4CAF" w:rsidRPr="007C1B9D" w:rsidRDefault="008A5F97" w:rsidP="00E05586">
    <w:pPr>
      <w:pStyle w:val="ECHRHeader"/>
      <w:jc w:val="center"/>
      <w:rPr>
        <w:lang w:val="en-US"/>
      </w:rPr>
    </w:pPr>
    <w:r w:rsidRPr="007C1B9D">
      <w:rPr>
        <w:lang w:val="en-US"/>
      </w:rPr>
      <w:t>– SEPARATE OPINION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C27344"/>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FEDCD3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21B44A14"/>
    <w:lvl w:ilvl="0">
      <w:start w:val="1"/>
      <w:numFmt w:val="decimal"/>
      <w:pStyle w:val="Listenumros3"/>
      <w:lvlText w:val="%1."/>
      <w:lvlJc w:val="left"/>
      <w:pPr>
        <w:tabs>
          <w:tab w:val="num" w:pos="926"/>
        </w:tabs>
        <w:ind w:left="926" w:hanging="360"/>
      </w:pPr>
    </w:lvl>
  </w:abstractNum>
  <w:abstractNum w:abstractNumId="3">
    <w:nsid w:val="FFFFFF7F"/>
    <w:multiLevelType w:val="singleLevel"/>
    <w:tmpl w:val="016CC6A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7B26C5E"/>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249265A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EE98D21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0A76A49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DE8C5388"/>
    <w:lvl w:ilvl="0">
      <w:start w:val="1"/>
      <w:numFmt w:val="decimal"/>
      <w:pStyle w:val="Listenumros"/>
      <w:lvlText w:val="%1."/>
      <w:lvlJc w:val="left"/>
      <w:pPr>
        <w:tabs>
          <w:tab w:val="num" w:pos="360"/>
        </w:tabs>
        <w:ind w:left="360" w:hanging="360"/>
      </w:pPr>
    </w:lvl>
  </w:abstractNum>
  <w:abstractNum w:abstractNumId="9">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0">
    <w:nsid w:val="2974745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7D768F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41740E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D9E3B6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7FD1241"/>
    <w:multiLevelType w:val="hybridMultilevel"/>
    <w:tmpl w:val="F6D86CC2"/>
    <w:lvl w:ilvl="0" w:tplc="E4205412">
      <w:start w:val="1"/>
      <w:numFmt w:val="bullet"/>
      <w:pStyle w:val="Listepuces"/>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nsid w:val="6F4445CA"/>
    <w:multiLevelType w:val="multilevel"/>
    <w:tmpl w:val="08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44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C6A2EF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4"/>
  </w:num>
  <w:num w:numId="3">
    <w:abstractNumId w:val="16"/>
  </w:num>
  <w:num w:numId="4">
    <w:abstractNumId w:val="16"/>
  </w:num>
  <w:num w:numId="5">
    <w:abstractNumId w:val="16"/>
  </w:num>
  <w:num w:numId="6">
    <w:abstractNumId w:val="16"/>
  </w:num>
  <w:num w:numId="7">
    <w:abstractNumId w:val="16"/>
  </w:num>
  <w:num w:numId="8">
    <w:abstractNumId w:val="16"/>
  </w:num>
  <w:num w:numId="9">
    <w:abstractNumId w:val="17"/>
  </w:num>
  <w:num w:numId="10">
    <w:abstractNumId w:val="11"/>
  </w:num>
  <w:num w:numId="11">
    <w:abstractNumId w:val="13"/>
  </w:num>
  <w:num w:numId="12">
    <w:abstractNumId w:val="10"/>
  </w:num>
  <w:num w:numId="13">
    <w:abstractNumId w:val="12"/>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4"/>
  </w:num>
  <w:num w:numId="25">
    <w:abstractNumId w:val="16"/>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8"/>
  </w:num>
  <w:num w:numId="35">
    <w:abstractNumId w:val="8"/>
  </w:num>
  <w:num w:numId="36">
    <w:abstractNumId w:val="3"/>
  </w:num>
  <w:num w:numId="37">
    <w:abstractNumId w:val="3"/>
  </w:num>
  <w:num w:numId="38">
    <w:abstractNumId w:val="2"/>
  </w:num>
  <w:num w:numId="39">
    <w:abstractNumId w:val="2"/>
  </w:num>
  <w:num w:numId="40">
    <w:abstractNumId w:val="1"/>
  </w:num>
  <w:num w:numId="41">
    <w:abstractNumId w:val="1"/>
  </w:num>
  <w:num w:numId="42">
    <w:abstractNumId w:val="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555409"/>
    <w:rsid w:val="00001CC5"/>
    <w:rsid w:val="00002DD1"/>
    <w:rsid w:val="000034F0"/>
    <w:rsid w:val="000042D1"/>
    <w:rsid w:val="00007B38"/>
    <w:rsid w:val="00011246"/>
    <w:rsid w:val="00013894"/>
    <w:rsid w:val="00023A06"/>
    <w:rsid w:val="000248C6"/>
    <w:rsid w:val="00027154"/>
    <w:rsid w:val="00033160"/>
    <w:rsid w:val="00033FD2"/>
    <w:rsid w:val="0003679E"/>
    <w:rsid w:val="00037763"/>
    <w:rsid w:val="00040A57"/>
    <w:rsid w:val="000417F7"/>
    <w:rsid w:val="00041D72"/>
    <w:rsid w:val="00042867"/>
    <w:rsid w:val="000444B3"/>
    <w:rsid w:val="000462B5"/>
    <w:rsid w:val="00047C68"/>
    <w:rsid w:val="00047DFC"/>
    <w:rsid w:val="00051638"/>
    <w:rsid w:val="00051BAF"/>
    <w:rsid w:val="000521A7"/>
    <w:rsid w:val="0005455A"/>
    <w:rsid w:val="00054E8D"/>
    <w:rsid w:val="0005522C"/>
    <w:rsid w:val="00055AC1"/>
    <w:rsid w:val="00057FAC"/>
    <w:rsid w:val="00061842"/>
    <w:rsid w:val="000636AB"/>
    <w:rsid w:val="00064F61"/>
    <w:rsid w:val="000655EF"/>
    <w:rsid w:val="00065E57"/>
    <w:rsid w:val="00067806"/>
    <w:rsid w:val="000726F6"/>
    <w:rsid w:val="00073C8A"/>
    <w:rsid w:val="00076A67"/>
    <w:rsid w:val="00077025"/>
    <w:rsid w:val="000805B0"/>
    <w:rsid w:val="00085837"/>
    <w:rsid w:val="00085B3A"/>
    <w:rsid w:val="00090C82"/>
    <w:rsid w:val="000924CB"/>
    <w:rsid w:val="00092C3A"/>
    <w:rsid w:val="00093105"/>
    <w:rsid w:val="0009409F"/>
    <w:rsid w:val="000944CA"/>
    <w:rsid w:val="000A0358"/>
    <w:rsid w:val="000A0E2D"/>
    <w:rsid w:val="000A1AA3"/>
    <w:rsid w:val="000A1C05"/>
    <w:rsid w:val="000A5447"/>
    <w:rsid w:val="000A7465"/>
    <w:rsid w:val="000B6661"/>
    <w:rsid w:val="000B7B94"/>
    <w:rsid w:val="000C1832"/>
    <w:rsid w:val="000C5BF9"/>
    <w:rsid w:val="000C6616"/>
    <w:rsid w:val="000C73CB"/>
    <w:rsid w:val="000D3756"/>
    <w:rsid w:val="000D3A3B"/>
    <w:rsid w:val="000D6108"/>
    <w:rsid w:val="000D68AE"/>
    <w:rsid w:val="000E1449"/>
    <w:rsid w:val="000E26F9"/>
    <w:rsid w:val="000F0DC2"/>
    <w:rsid w:val="000F1B4F"/>
    <w:rsid w:val="000F39D1"/>
    <w:rsid w:val="000F5466"/>
    <w:rsid w:val="000F5963"/>
    <w:rsid w:val="000F699D"/>
    <w:rsid w:val="00101FD3"/>
    <w:rsid w:val="0010204C"/>
    <w:rsid w:val="00104AD1"/>
    <w:rsid w:val="00105328"/>
    <w:rsid w:val="00105EC2"/>
    <w:rsid w:val="00111D99"/>
    <w:rsid w:val="001141D1"/>
    <w:rsid w:val="0011451F"/>
    <w:rsid w:val="00114908"/>
    <w:rsid w:val="00115349"/>
    <w:rsid w:val="0011665B"/>
    <w:rsid w:val="001250C7"/>
    <w:rsid w:val="00126213"/>
    <w:rsid w:val="0013290F"/>
    <w:rsid w:val="001329B7"/>
    <w:rsid w:val="00133DC3"/>
    <w:rsid w:val="00136576"/>
    <w:rsid w:val="00136B5C"/>
    <w:rsid w:val="001409B0"/>
    <w:rsid w:val="00143978"/>
    <w:rsid w:val="00143A86"/>
    <w:rsid w:val="00145F53"/>
    <w:rsid w:val="00147B54"/>
    <w:rsid w:val="00147E34"/>
    <w:rsid w:val="0015170E"/>
    <w:rsid w:val="00151CCA"/>
    <w:rsid w:val="00152872"/>
    <w:rsid w:val="001550D3"/>
    <w:rsid w:val="00157BD8"/>
    <w:rsid w:val="00161A93"/>
    <w:rsid w:val="00164C2A"/>
    <w:rsid w:val="00165734"/>
    <w:rsid w:val="00165ED8"/>
    <w:rsid w:val="00166E9C"/>
    <w:rsid w:val="001702A1"/>
    <w:rsid w:val="0017392B"/>
    <w:rsid w:val="00173B80"/>
    <w:rsid w:val="0017407D"/>
    <w:rsid w:val="00174A6F"/>
    <w:rsid w:val="00176D68"/>
    <w:rsid w:val="00177CAA"/>
    <w:rsid w:val="00177FB2"/>
    <w:rsid w:val="00180807"/>
    <w:rsid w:val="001812B2"/>
    <w:rsid w:val="00184552"/>
    <w:rsid w:val="00184EF2"/>
    <w:rsid w:val="0018514E"/>
    <w:rsid w:val="001928E7"/>
    <w:rsid w:val="0019388B"/>
    <w:rsid w:val="00195190"/>
    <w:rsid w:val="00195378"/>
    <w:rsid w:val="00197C29"/>
    <w:rsid w:val="001A0138"/>
    <w:rsid w:val="001A0EBE"/>
    <w:rsid w:val="001A1546"/>
    <w:rsid w:val="001A183C"/>
    <w:rsid w:val="001A2CB2"/>
    <w:rsid w:val="001A397D"/>
    <w:rsid w:val="001A571F"/>
    <w:rsid w:val="001A6C24"/>
    <w:rsid w:val="001A7D3B"/>
    <w:rsid w:val="001B2EFC"/>
    <w:rsid w:val="001B455C"/>
    <w:rsid w:val="001B62B1"/>
    <w:rsid w:val="001B74F7"/>
    <w:rsid w:val="001C0F07"/>
    <w:rsid w:val="001C197D"/>
    <w:rsid w:val="001C77A7"/>
    <w:rsid w:val="001D0624"/>
    <w:rsid w:val="001E2BA2"/>
    <w:rsid w:val="001E44D9"/>
    <w:rsid w:val="001F137A"/>
    <w:rsid w:val="001F2021"/>
    <w:rsid w:val="001F2E9F"/>
    <w:rsid w:val="001F3413"/>
    <w:rsid w:val="001F5586"/>
    <w:rsid w:val="0020279D"/>
    <w:rsid w:val="00202824"/>
    <w:rsid w:val="002041E3"/>
    <w:rsid w:val="00205FF4"/>
    <w:rsid w:val="00206D8A"/>
    <w:rsid w:val="0021480B"/>
    <w:rsid w:val="0021484A"/>
    <w:rsid w:val="00214D20"/>
    <w:rsid w:val="00224799"/>
    <w:rsid w:val="00225BE5"/>
    <w:rsid w:val="002266CD"/>
    <w:rsid w:val="00227D41"/>
    <w:rsid w:val="00230499"/>
    <w:rsid w:val="002320C6"/>
    <w:rsid w:val="0023416F"/>
    <w:rsid w:val="00235A31"/>
    <w:rsid w:val="00246887"/>
    <w:rsid w:val="00247EE7"/>
    <w:rsid w:val="002512BD"/>
    <w:rsid w:val="0025210A"/>
    <w:rsid w:val="00252B31"/>
    <w:rsid w:val="00255C12"/>
    <w:rsid w:val="002563F5"/>
    <w:rsid w:val="00262937"/>
    <w:rsid w:val="0026412E"/>
    <w:rsid w:val="002653A6"/>
    <w:rsid w:val="00265471"/>
    <w:rsid w:val="0026789F"/>
    <w:rsid w:val="00267E01"/>
    <w:rsid w:val="00271A81"/>
    <w:rsid w:val="00272EF1"/>
    <w:rsid w:val="002748E2"/>
    <w:rsid w:val="00280C52"/>
    <w:rsid w:val="00293452"/>
    <w:rsid w:val="00296626"/>
    <w:rsid w:val="00296B76"/>
    <w:rsid w:val="002976C1"/>
    <w:rsid w:val="00297942"/>
    <w:rsid w:val="00297C4C"/>
    <w:rsid w:val="002A3629"/>
    <w:rsid w:val="002A3A18"/>
    <w:rsid w:val="002A4296"/>
    <w:rsid w:val="002A4698"/>
    <w:rsid w:val="002B18B7"/>
    <w:rsid w:val="002B60C6"/>
    <w:rsid w:val="002B6673"/>
    <w:rsid w:val="002C069C"/>
    <w:rsid w:val="002C4097"/>
    <w:rsid w:val="002C4D7C"/>
    <w:rsid w:val="002C7D3E"/>
    <w:rsid w:val="002D0198"/>
    <w:rsid w:val="002D1DC9"/>
    <w:rsid w:val="002D37DC"/>
    <w:rsid w:val="002D441C"/>
    <w:rsid w:val="002E1F4E"/>
    <w:rsid w:val="002E2EAF"/>
    <w:rsid w:val="002E4022"/>
    <w:rsid w:val="002E6A74"/>
    <w:rsid w:val="002F4964"/>
    <w:rsid w:val="002F4BAC"/>
    <w:rsid w:val="002F4BCF"/>
    <w:rsid w:val="002F5B62"/>
    <w:rsid w:val="002F6FE9"/>
    <w:rsid w:val="00300858"/>
    <w:rsid w:val="00302008"/>
    <w:rsid w:val="003037CB"/>
    <w:rsid w:val="003068DC"/>
    <w:rsid w:val="00310035"/>
    <w:rsid w:val="003104E9"/>
    <w:rsid w:val="003113D3"/>
    <w:rsid w:val="0031573C"/>
    <w:rsid w:val="003161BA"/>
    <w:rsid w:val="00317201"/>
    <w:rsid w:val="00317BFA"/>
    <w:rsid w:val="00320635"/>
    <w:rsid w:val="0032093A"/>
    <w:rsid w:val="00321403"/>
    <w:rsid w:val="003224C4"/>
    <w:rsid w:val="00322651"/>
    <w:rsid w:val="003248CF"/>
    <w:rsid w:val="00325C2B"/>
    <w:rsid w:val="00326F53"/>
    <w:rsid w:val="003274DD"/>
    <w:rsid w:val="00332547"/>
    <w:rsid w:val="00332E86"/>
    <w:rsid w:val="00333339"/>
    <w:rsid w:val="00333784"/>
    <w:rsid w:val="0033385C"/>
    <w:rsid w:val="003348EB"/>
    <w:rsid w:val="00336887"/>
    <w:rsid w:val="00337096"/>
    <w:rsid w:val="00337600"/>
    <w:rsid w:val="00337723"/>
    <w:rsid w:val="003403BB"/>
    <w:rsid w:val="00341D87"/>
    <w:rsid w:val="00341EC7"/>
    <w:rsid w:val="003422EE"/>
    <w:rsid w:val="00343DBE"/>
    <w:rsid w:val="003447F0"/>
    <w:rsid w:val="00344CCF"/>
    <w:rsid w:val="0034580F"/>
    <w:rsid w:val="003477DC"/>
    <w:rsid w:val="003506C9"/>
    <w:rsid w:val="00355F8F"/>
    <w:rsid w:val="0035638D"/>
    <w:rsid w:val="0036341B"/>
    <w:rsid w:val="0037066D"/>
    <w:rsid w:val="00370807"/>
    <w:rsid w:val="00371277"/>
    <w:rsid w:val="0037228D"/>
    <w:rsid w:val="00377DCF"/>
    <w:rsid w:val="00380761"/>
    <w:rsid w:val="00382690"/>
    <w:rsid w:val="00382EC4"/>
    <w:rsid w:val="00383050"/>
    <w:rsid w:val="00384334"/>
    <w:rsid w:val="00392C1F"/>
    <w:rsid w:val="00392E0D"/>
    <w:rsid w:val="0039401E"/>
    <w:rsid w:val="00396B57"/>
    <w:rsid w:val="003A1B3F"/>
    <w:rsid w:val="003A64D3"/>
    <w:rsid w:val="003B12D4"/>
    <w:rsid w:val="003B41C7"/>
    <w:rsid w:val="003B50D7"/>
    <w:rsid w:val="003C0BE6"/>
    <w:rsid w:val="003C0F12"/>
    <w:rsid w:val="003C634A"/>
    <w:rsid w:val="003C66C0"/>
    <w:rsid w:val="003C7796"/>
    <w:rsid w:val="003D0BC4"/>
    <w:rsid w:val="003D1B82"/>
    <w:rsid w:val="003D1EB5"/>
    <w:rsid w:val="003D3023"/>
    <w:rsid w:val="003D421D"/>
    <w:rsid w:val="003D4D2A"/>
    <w:rsid w:val="003D4FB0"/>
    <w:rsid w:val="003E19C4"/>
    <w:rsid w:val="003E2006"/>
    <w:rsid w:val="003E319C"/>
    <w:rsid w:val="003E3F4D"/>
    <w:rsid w:val="003E42CD"/>
    <w:rsid w:val="003E607E"/>
    <w:rsid w:val="003F0FAB"/>
    <w:rsid w:val="003F1ADE"/>
    <w:rsid w:val="003F3BFD"/>
    <w:rsid w:val="003F3E82"/>
    <w:rsid w:val="003F47BA"/>
    <w:rsid w:val="003F524A"/>
    <w:rsid w:val="003F6B6F"/>
    <w:rsid w:val="00401C5B"/>
    <w:rsid w:val="00403520"/>
    <w:rsid w:val="00404BA5"/>
    <w:rsid w:val="004074E3"/>
    <w:rsid w:val="00407868"/>
    <w:rsid w:val="00411C0E"/>
    <w:rsid w:val="00412F5F"/>
    <w:rsid w:val="004134DF"/>
    <w:rsid w:val="00413EFC"/>
    <w:rsid w:val="004143A9"/>
    <w:rsid w:val="00416B7A"/>
    <w:rsid w:val="00421FCE"/>
    <w:rsid w:val="0042241B"/>
    <w:rsid w:val="004226B3"/>
    <w:rsid w:val="00422A0C"/>
    <w:rsid w:val="00434B1E"/>
    <w:rsid w:val="004406AA"/>
    <w:rsid w:val="00441B26"/>
    <w:rsid w:val="00443536"/>
    <w:rsid w:val="00443F4C"/>
    <w:rsid w:val="00452CF1"/>
    <w:rsid w:val="00453CED"/>
    <w:rsid w:val="004560BD"/>
    <w:rsid w:val="00457A18"/>
    <w:rsid w:val="00460FAD"/>
    <w:rsid w:val="00461773"/>
    <w:rsid w:val="00461F9B"/>
    <w:rsid w:val="004650C9"/>
    <w:rsid w:val="00465AD7"/>
    <w:rsid w:val="00467C55"/>
    <w:rsid w:val="00471505"/>
    <w:rsid w:val="00485A6F"/>
    <w:rsid w:val="0048645B"/>
    <w:rsid w:val="00487C82"/>
    <w:rsid w:val="00491FF5"/>
    <w:rsid w:val="004920B1"/>
    <w:rsid w:val="004934C8"/>
    <w:rsid w:val="00494378"/>
    <w:rsid w:val="004951D4"/>
    <w:rsid w:val="00497123"/>
    <w:rsid w:val="004A2B8F"/>
    <w:rsid w:val="004A3819"/>
    <w:rsid w:val="004B5D48"/>
    <w:rsid w:val="004B760A"/>
    <w:rsid w:val="004C03B4"/>
    <w:rsid w:val="004C5BFE"/>
    <w:rsid w:val="004C6F03"/>
    <w:rsid w:val="004C7DF6"/>
    <w:rsid w:val="004D1A5D"/>
    <w:rsid w:val="004D2719"/>
    <w:rsid w:val="004D2916"/>
    <w:rsid w:val="004D7291"/>
    <w:rsid w:val="004D7537"/>
    <w:rsid w:val="004E08CB"/>
    <w:rsid w:val="004E5DFC"/>
    <w:rsid w:val="004E640A"/>
    <w:rsid w:val="0050096C"/>
    <w:rsid w:val="0050162B"/>
    <w:rsid w:val="00503E6A"/>
    <w:rsid w:val="00507BF9"/>
    <w:rsid w:val="00513446"/>
    <w:rsid w:val="00516EBF"/>
    <w:rsid w:val="00517F95"/>
    <w:rsid w:val="00522362"/>
    <w:rsid w:val="005232FE"/>
    <w:rsid w:val="00524FFC"/>
    <w:rsid w:val="00525A8C"/>
    <w:rsid w:val="005261D5"/>
    <w:rsid w:val="00532A4A"/>
    <w:rsid w:val="0053320B"/>
    <w:rsid w:val="005337F8"/>
    <w:rsid w:val="0053445A"/>
    <w:rsid w:val="00535677"/>
    <w:rsid w:val="00536633"/>
    <w:rsid w:val="00536FCA"/>
    <w:rsid w:val="005419B6"/>
    <w:rsid w:val="005430F1"/>
    <w:rsid w:val="005449B3"/>
    <w:rsid w:val="00546F49"/>
    <w:rsid w:val="0054703B"/>
    <w:rsid w:val="005475BA"/>
    <w:rsid w:val="00550E94"/>
    <w:rsid w:val="005516DA"/>
    <w:rsid w:val="005525F3"/>
    <w:rsid w:val="00554CFF"/>
    <w:rsid w:val="00554DA0"/>
    <w:rsid w:val="00555409"/>
    <w:rsid w:val="00555418"/>
    <w:rsid w:val="00555E80"/>
    <w:rsid w:val="00560D3E"/>
    <w:rsid w:val="0056124E"/>
    <w:rsid w:val="00561675"/>
    <w:rsid w:val="0056771C"/>
    <w:rsid w:val="0056778F"/>
    <w:rsid w:val="00567B1C"/>
    <w:rsid w:val="005708BB"/>
    <w:rsid w:val="00570D09"/>
    <w:rsid w:val="00570DA1"/>
    <w:rsid w:val="00571311"/>
    <w:rsid w:val="00572469"/>
    <w:rsid w:val="00574C5F"/>
    <w:rsid w:val="005777BA"/>
    <w:rsid w:val="00577E6A"/>
    <w:rsid w:val="00581AF8"/>
    <w:rsid w:val="00582D1B"/>
    <w:rsid w:val="0058346D"/>
    <w:rsid w:val="00583964"/>
    <w:rsid w:val="00584A11"/>
    <w:rsid w:val="005874FF"/>
    <w:rsid w:val="0059004D"/>
    <w:rsid w:val="00593D9D"/>
    <w:rsid w:val="005944D6"/>
    <w:rsid w:val="00594991"/>
    <w:rsid w:val="00595C5D"/>
    <w:rsid w:val="005965FA"/>
    <w:rsid w:val="005A3D27"/>
    <w:rsid w:val="005A50F8"/>
    <w:rsid w:val="005B16A8"/>
    <w:rsid w:val="005B1959"/>
    <w:rsid w:val="005B3BC8"/>
    <w:rsid w:val="005B4233"/>
    <w:rsid w:val="005B4D6A"/>
    <w:rsid w:val="005B4F4C"/>
    <w:rsid w:val="005B70D6"/>
    <w:rsid w:val="005C0BC2"/>
    <w:rsid w:val="005C1929"/>
    <w:rsid w:val="005C1956"/>
    <w:rsid w:val="005C2C88"/>
    <w:rsid w:val="005C41CB"/>
    <w:rsid w:val="005C7FFE"/>
    <w:rsid w:val="005D157F"/>
    <w:rsid w:val="005D1B72"/>
    <w:rsid w:val="005D314B"/>
    <w:rsid w:val="005D4534"/>
    <w:rsid w:val="005D672A"/>
    <w:rsid w:val="005E384F"/>
    <w:rsid w:val="005E3D0B"/>
    <w:rsid w:val="005E59AD"/>
    <w:rsid w:val="005E5D2E"/>
    <w:rsid w:val="005E682D"/>
    <w:rsid w:val="005E7B7A"/>
    <w:rsid w:val="005F4753"/>
    <w:rsid w:val="005F4E83"/>
    <w:rsid w:val="005F5370"/>
    <w:rsid w:val="005F5496"/>
    <w:rsid w:val="005F54F5"/>
    <w:rsid w:val="005F6457"/>
    <w:rsid w:val="005F7A10"/>
    <w:rsid w:val="00600C15"/>
    <w:rsid w:val="00602A43"/>
    <w:rsid w:val="00603DB9"/>
    <w:rsid w:val="006053AC"/>
    <w:rsid w:val="006058FD"/>
    <w:rsid w:val="00605FCC"/>
    <w:rsid w:val="00611184"/>
    <w:rsid w:val="006111FF"/>
    <w:rsid w:val="006121BA"/>
    <w:rsid w:val="006131C1"/>
    <w:rsid w:val="006138EA"/>
    <w:rsid w:val="00613CB0"/>
    <w:rsid w:val="00614F9D"/>
    <w:rsid w:val="00615D07"/>
    <w:rsid w:val="00616007"/>
    <w:rsid w:val="006200D4"/>
    <w:rsid w:val="006241F5"/>
    <w:rsid w:val="00625648"/>
    <w:rsid w:val="00625699"/>
    <w:rsid w:val="0062787C"/>
    <w:rsid w:val="00633478"/>
    <w:rsid w:val="00640B82"/>
    <w:rsid w:val="006412E9"/>
    <w:rsid w:val="00641487"/>
    <w:rsid w:val="00642F53"/>
    <w:rsid w:val="00643F5C"/>
    <w:rsid w:val="00645452"/>
    <w:rsid w:val="006548C0"/>
    <w:rsid w:val="00655126"/>
    <w:rsid w:val="0065612D"/>
    <w:rsid w:val="00661205"/>
    <w:rsid w:val="00662127"/>
    <w:rsid w:val="006639B6"/>
    <w:rsid w:val="00680CFA"/>
    <w:rsid w:val="006816D1"/>
    <w:rsid w:val="00683183"/>
    <w:rsid w:val="00692128"/>
    <w:rsid w:val="0069426A"/>
    <w:rsid w:val="00697E83"/>
    <w:rsid w:val="00697F14"/>
    <w:rsid w:val="006A1B59"/>
    <w:rsid w:val="006A3D9D"/>
    <w:rsid w:val="006A4158"/>
    <w:rsid w:val="006A79F2"/>
    <w:rsid w:val="006A7C48"/>
    <w:rsid w:val="006B2B25"/>
    <w:rsid w:val="006B3D12"/>
    <w:rsid w:val="006B6567"/>
    <w:rsid w:val="006B69F2"/>
    <w:rsid w:val="006C2B52"/>
    <w:rsid w:val="006C35C5"/>
    <w:rsid w:val="006C5292"/>
    <w:rsid w:val="006C5A40"/>
    <w:rsid w:val="006D0455"/>
    <w:rsid w:val="006D3087"/>
    <w:rsid w:val="006D71BC"/>
    <w:rsid w:val="006E22E0"/>
    <w:rsid w:val="006E6635"/>
    <w:rsid w:val="006E6D33"/>
    <w:rsid w:val="006F004C"/>
    <w:rsid w:val="006F1122"/>
    <w:rsid w:val="006F17D4"/>
    <w:rsid w:val="006F4751"/>
    <w:rsid w:val="006F796A"/>
    <w:rsid w:val="00700BE8"/>
    <w:rsid w:val="00705B89"/>
    <w:rsid w:val="007106BF"/>
    <w:rsid w:val="00712F57"/>
    <w:rsid w:val="007156E0"/>
    <w:rsid w:val="007161E9"/>
    <w:rsid w:val="00717B59"/>
    <w:rsid w:val="007220BA"/>
    <w:rsid w:val="00730053"/>
    <w:rsid w:val="00730433"/>
    <w:rsid w:val="007325D1"/>
    <w:rsid w:val="007352DD"/>
    <w:rsid w:val="007372EF"/>
    <w:rsid w:val="007446E6"/>
    <w:rsid w:val="007505C8"/>
    <w:rsid w:val="007505CF"/>
    <w:rsid w:val="00750E5E"/>
    <w:rsid w:val="00751C24"/>
    <w:rsid w:val="00753F27"/>
    <w:rsid w:val="00754ABE"/>
    <w:rsid w:val="00756012"/>
    <w:rsid w:val="0075667C"/>
    <w:rsid w:val="00756D5B"/>
    <w:rsid w:val="007603BB"/>
    <w:rsid w:val="00770983"/>
    <w:rsid w:val="00771816"/>
    <w:rsid w:val="00772BA3"/>
    <w:rsid w:val="00775E29"/>
    <w:rsid w:val="00776807"/>
    <w:rsid w:val="0077789B"/>
    <w:rsid w:val="0078062F"/>
    <w:rsid w:val="007827E7"/>
    <w:rsid w:val="00785231"/>
    <w:rsid w:val="00786B58"/>
    <w:rsid w:val="0079163D"/>
    <w:rsid w:val="0079187F"/>
    <w:rsid w:val="00794888"/>
    <w:rsid w:val="00796677"/>
    <w:rsid w:val="007A1FFE"/>
    <w:rsid w:val="007A357A"/>
    <w:rsid w:val="007A3CA7"/>
    <w:rsid w:val="007A61E7"/>
    <w:rsid w:val="007A6910"/>
    <w:rsid w:val="007A6C18"/>
    <w:rsid w:val="007A6D33"/>
    <w:rsid w:val="007A6DBA"/>
    <w:rsid w:val="007A705F"/>
    <w:rsid w:val="007A720C"/>
    <w:rsid w:val="007A72FC"/>
    <w:rsid w:val="007B0144"/>
    <w:rsid w:val="007B03C9"/>
    <w:rsid w:val="007B0A74"/>
    <w:rsid w:val="007B2958"/>
    <w:rsid w:val="007B4F3F"/>
    <w:rsid w:val="007C090B"/>
    <w:rsid w:val="007C0F68"/>
    <w:rsid w:val="007C1CE3"/>
    <w:rsid w:val="007C3032"/>
    <w:rsid w:val="007C6389"/>
    <w:rsid w:val="007C6B0F"/>
    <w:rsid w:val="007C7223"/>
    <w:rsid w:val="007D0D75"/>
    <w:rsid w:val="007D3945"/>
    <w:rsid w:val="007E2347"/>
    <w:rsid w:val="007E2F61"/>
    <w:rsid w:val="007E3E27"/>
    <w:rsid w:val="007E5968"/>
    <w:rsid w:val="007E603C"/>
    <w:rsid w:val="007F0F55"/>
    <w:rsid w:val="007F381D"/>
    <w:rsid w:val="007F47C8"/>
    <w:rsid w:val="007F735A"/>
    <w:rsid w:val="00800B42"/>
    <w:rsid w:val="00803454"/>
    <w:rsid w:val="00806E5F"/>
    <w:rsid w:val="00807AB3"/>
    <w:rsid w:val="0081318C"/>
    <w:rsid w:val="00813A7D"/>
    <w:rsid w:val="00815064"/>
    <w:rsid w:val="008151AB"/>
    <w:rsid w:val="0082058A"/>
    <w:rsid w:val="0082102B"/>
    <w:rsid w:val="008216D7"/>
    <w:rsid w:val="008256C9"/>
    <w:rsid w:val="00834FD0"/>
    <w:rsid w:val="0083797E"/>
    <w:rsid w:val="008403AF"/>
    <w:rsid w:val="00846856"/>
    <w:rsid w:val="008476CE"/>
    <w:rsid w:val="00847C02"/>
    <w:rsid w:val="00851239"/>
    <w:rsid w:val="00853345"/>
    <w:rsid w:val="00854873"/>
    <w:rsid w:val="008601F7"/>
    <w:rsid w:val="00862DA4"/>
    <w:rsid w:val="00862E55"/>
    <w:rsid w:val="00864209"/>
    <w:rsid w:val="00865450"/>
    <w:rsid w:val="00865D5B"/>
    <w:rsid w:val="00870741"/>
    <w:rsid w:val="0087181E"/>
    <w:rsid w:val="008729EE"/>
    <w:rsid w:val="008824B9"/>
    <w:rsid w:val="0088315D"/>
    <w:rsid w:val="00884205"/>
    <w:rsid w:val="00884DB8"/>
    <w:rsid w:val="00884F7F"/>
    <w:rsid w:val="00885BA4"/>
    <w:rsid w:val="00885F50"/>
    <w:rsid w:val="00886BB5"/>
    <w:rsid w:val="00886DD4"/>
    <w:rsid w:val="008900BA"/>
    <w:rsid w:val="00893782"/>
    <w:rsid w:val="008967B6"/>
    <w:rsid w:val="008A02C8"/>
    <w:rsid w:val="008A28AA"/>
    <w:rsid w:val="008A326C"/>
    <w:rsid w:val="008A3875"/>
    <w:rsid w:val="008A5F97"/>
    <w:rsid w:val="008B5BFB"/>
    <w:rsid w:val="008C2415"/>
    <w:rsid w:val="008C39B5"/>
    <w:rsid w:val="008C60EE"/>
    <w:rsid w:val="008C6F68"/>
    <w:rsid w:val="008D323F"/>
    <w:rsid w:val="008D7BF2"/>
    <w:rsid w:val="008E05A3"/>
    <w:rsid w:val="008E2C6A"/>
    <w:rsid w:val="008E4413"/>
    <w:rsid w:val="008E6ABE"/>
    <w:rsid w:val="008E7C7C"/>
    <w:rsid w:val="008F3694"/>
    <w:rsid w:val="008F4187"/>
    <w:rsid w:val="00900C88"/>
    <w:rsid w:val="00900F2B"/>
    <w:rsid w:val="009011CC"/>
    <w:rsid w:val="00901475"/>
    <w:rsid w:val="00905AEF"/>
    <w:rsid w:val="00916442"/>
    <w:rsid w:val="009169BC"/>
    <w:rsid w:val="009178C0"/>
    <w:rsid w:val="00921D12"/>
    <w:rsid w:val="00923CD7"/>
    <w:rsid w:val="00923E18"/>
    <w:rsid w:val="00927277"/>
    <w:rsid w:val="00930C8E"/>
    <w:rsid w:val="00930CD7"/>
    <w:rsid w:val="009325D4"/>
    <w:rsid w:val="00932C7B"/>
    <w:rsid w:val="009347B6"/>
    <w:rsid w:val="009351D6"/>
    <w:rsid w:val="009379AF"/>
    <w:rsid w:val="0094239F"/>
    <w:rsid w:val="00942547"/>
    <w:rsid w:val="0094294F"/>
    <w:rsid w:val="00947B32"/>
    <w:rsid w:val="00950596"/>
    <w:rsid w:val="00954801"/>
    <w:rsid w:val="00955535"/>
    <w:rsid w:val="00956501"/>
    <w:rsid w:val="009621FB"/>
    <w:rsid w:val="00963F9A"/>
    <w:rsid w:val="0096529E"/>
    <w:rsid w:val="00965783"/>
    <w:rsid w:val="00965BD4"/>
    <w:rsid w:val="00967B1B"/>
    <w:rsid w:val="00967BC1"/>
    <w:rsid w:val="00970E87"/>
    <w:rsid w:val="0097629F"/>
    <w:rsid w:val="00981256"/>
    <w:rsid w:val="0098535B"/>
    <w:rsid w:val="00985EF9"/>
    <w:rsid w:val="00987EE5"/>
    <w:rsid w:val="00990B28"/>
    <w:rsid w:val="0099523F"/>
    <w:rsid w:val="0099561C"/>
    <w:rsid w:val="00995F44"/>
    <w:rsid w:val="00996E0B"/>
    <w:rsid w:val="009A1CE6"/>
    <w:rsid w:val="009A5D2C"/>
    <w:rsid w:val="009A61DD"/>
    <w:rsid w:val="009A6925"/>
    <w:rsid w:val="009B039E"/>
    <w:rsid w:val="009B15A1"/>
    <w:rsid w:val="009B7515"/>
    <w:rsid w:val="009C06DB"/>
    <w:rsid w:val="009C1430"/>
    <w:rsid w:val="009C4857"/>
    <w:rsid w:val="009C5183"/>
    <w:rsid w:val="009D09FC"/>
    <w:rsid w:val="009D2E51"/>
    <w:rsid w:val="009D46D7"/>
    <w:rsid w:val="009D4B87"/>
    <w:rsid w:val="009D54DA"/>
    <w:rsid w:val="009D5DCC"/>
    <w:rsid w:val="009E00D8"/>
    <w:rsid w:val="009E0293"/>
    <w:rsid w:val="009E0FDC"/>
    <w:rsid w:val="009E285C"/>
    <w:rsid w:val="009E3365"/>
    <w:rsid w:val="009E66E3"/>
    <w:rsid w:val="009E7F9D"/>
    <w:rsid w:val="009F0055"/>
    <w:rsid w:val="009F07CC"/>
    <w:rsid w:val="009F18CE"/>
    <w:rsid w:val="009F1BA4"/>
    <w:rsid w:val="009F1D27"/>
    <w:rsid w:val="009F3D3E"/>
    <w:rsid w:val="009F47BE"/>
    <w:rsid w:val="009F5625"/>
    <w:rsid w:val="009F653C"/>
    <w:rsid w:val="009F7F4F"/>
    <w:rsid w:val="00A000A9"/>
    <w:rsid w:val="00A009C4"/>
    <w:rsid w:val="00A00CF6"/>
    <w:rsid w:val="00A012A5"/>
    <w:rsid w:val="00A01BCD"/>
    <w:rsid w:val="00A021B3"/>
    <w:rsid w:val="00A04E02"/>
    <w:rsid w:val="00A06A89"/>
    <w:rsid w:val="00A106C5"/>
    <w:rsid w:val="00A123F6"/>
    <w:rsid w:val="00A12DEF"/>
    <w:rsid w:val="00A135BE"/>
    <w:rsid w:val="00A1687A"/>
    <w:rsid w:val="00A22C0D"/>
    <w:rsid w:val="00A2376B"/>
    <w:rsid w:val="00A31F0D"/>
    <w:rsid w:val="00A32B81"/>
    <w:rsid w:val="00A35685"/>
    <w:rsid w:val="00A35C98"/>
    <w:rsid w:val="00A36290"/>
    <w:rsid w:val="00A37C67"/>
    <w:rsid w:val="00A404DE"/>
    <w:rsid w:val="00A41E8C"/>
    <w:rsid w:val="00A422BE"/>
    <w:rsid w:val="00A44BC4"/>
    <w:rsid w:val="00A5227B"/>
    <w:rsid w:val="00A52895"/>
    <w:rsid w:val="00A5331A"/>
    <w:rsid w:val="00A540EB"/>
    <w:rsid w:val="00A56A5D"/>
    <w:rsid w:val="00A60727"/>
    <w:rsid w:val="00A6293C"/>
    <w:rsid w:val="00A6455A"/>
    <w:rsid w:val="00A67836"/>
    <w:rsid w:val="00A7049C"/>
    <w:rsid w:val="00A720A6"/>
    <w:rsid w:val="00A742FF"/>
    <w:rsid w:val="00A76043"/>
    <w:rsid w:val="00A76EF3"/>
    <w:rsid w:val="00A80135"/>
    <w:rsid w:val="00A8381C"/>
    <w:rsid w:val="00A85AA7"/>
    <w:rsid w:val="00A86E75"/>
    <w:rsid w:val="00A87953"/>
    <w:rsid w:val="00A905C9"/>
    <w:rsid w:val="00AA0A20"/>
    <w:rsid w:val="00AA2B6A"/>
    <w:rsid w:val="00AA373E"/>
    <w:rsid w:val="00AA3CA1"/>
    <w:rsid w:val="00AA3CE6"/>
    <w:rsid w:val="00AA4990"/>
    <w:rsid w:val="00AA6CAF"/>
    <w:rsid w:val="00AA7CA2"/>
    <w:rsid w:val="00AB0594"/>
    <w:rsid w:val="00AB2166"/>
    <w:rsid w:val="00AB3610"/>
    <w:rsid w:val="00AB3C79"/>
    <w:rsid w:val="00AB43D9"/>
    <w:rsid w:val="00AC0202"/>
    <w:rsid w:val="00AC09E0"/>
    <w:rsid w:val="00AC134B"/>
    <w:rsid w:val="00AC203B"/>
    <w:rsid w:val="00AC2161"/>
    <w:rsid w:val="00AC3720"/>
    <w:rsid w:val="00AC4995"/>
    <w:rsid w:val="00AC4B9B"/>
    <w:rsid w:val="00AD248B"/>
    <w:rsid w:val="00AD57B2"/>
    <w:rsid w:val="00AE0674"/>
    <w:rsid w:val="00AE1D51"/>
    <w:rsid w:val="00AE2F4F"/>
    <w:rsid w:val="00AE371F"/>
    <w:rsid w:val="00AF1CBA"/>
    <w:rsid w:val="00AF3FCD"/>
    <w:rsid w:val="00AF749A"/>
    <w:rsid w:val="00AF7C99"/>
    <w:rsid w:val="00B01502"/>
    <w:rsid w:val="00B030BE"/>
    <w:rsid w:val="00B0594B"/>
    <w:rsid w:val="00B122EA"/>
    <w:rsid w:val="00B12E17"/>
    <w:rsid w:val="00B169DD"/>
    <w:rsid w:val="00B17A52"/>
    <w:rsid w:val="00B248BA"/>
    <w:rsid w:val="00B324A5"/>
    <w:rsid w:val="00B34516"/>
    <w:rsid w:val="00B3522B"/>
    <w:rsid w:val="00B359EE"/>
    <w:rsid w:val="00B3608A"/>
    <w:rsid w:val="00B372C5"/>
    <w:rsid w:val="00B41F7B"/>
    <w:rsid w:val="00B4551C"/>
    <w:rsid w:val="00B460AF"/>
    <w:rsid w:val="00B52010"/>
    <w:rsid w:val="00B555B0"/>
    <w:rsid w:val="00B55F9D"/>
    <w:rsid w:val="00B5717E"/>
    <w:rsid w:val="00B574E7"/>
    <w:rsid w:val="00B607FF"/>
    <w:rsid w:val="00B609B3"/>
    <w:rsid w:val="00B61012"/>
    <w:rsid w:val="00B6108B"/>
    <w:rsid w:val="00B61C28"/>
    <w:rsid w:val="00B64488"/>
    <w:rsid w:val="00B662B2"/>
    <w:rsid w:val="00B6763B"/>
    <w:rsid w:val="00B67CBD"/>
    <w:rsid w:val="00B73E95"/>
    <w:rsid w:val="00B743BC"/>
    <w:rsid w:val="00B76BB3"/>
    <w:rsid w:val="00B81192"/>
    <w:rsid w:val="00B837BE"/>
    <w:rsid w:val="00B8497F"/>
    <w:rsid w:val="00B90135"/>
    <w:rsid w:val="00B921A8"/>
    <w:rsid w:val="00B927C9"/>
    <w:rsid w:val="00B95C8D"/>
    <w:rsid w:val="00BA4F3C"/>
    <w:rsid w:val="00BA5F16"/>
    <w:rsid w:val="00BB174F"/>
    <w:rsid w:val="00BB1775"/>
    <w:rsid w:val="00BB41E0"/>
    <w:rsid w:val="00BC3368"/>
    <w:rsid w:val="00BC5C04"/>
    <w:rsid w:val="00BC768A"/>
    <w:rsid w:val="00BC7EEE"/>
    <w:rsid w:val="00BD19AE"/>
    <w:rsid w:val="00BD40AC"/>
    <w:rsid w:val="00BD70E6"/>
    <w:rsid w:val="00BD7F73"/>
    <w:rsid w:val="00BE0DE7"/>
    <w:rsid w:val="00BE108F"/>
    <w:rsid w:val="00BE2F82"/>
    <w:rsid w:val="00BE41E8"/>
    <w:rsid w:val="00BE4228"/>
    <w:rsid w:val="00BE50FE"/>
    <w:rsid w:val="00BE5958"/>
    <w:rsid w:val="00BE6067"/>
    <w:rsid w:val="00BF071D"/>
    <w:rsid w:val="00BF209B"/>
    <w:rsid w:val="00BF253F"/>
    <w:rsid w:val="00C01838"/>
    <w:rsid w:val="00C01E1C"/>
    <w:rsid w:val="00C02E48"/>
    <w:rsid w:val="00C0314E"/>
    <w:rsid w:val="00C04CCA"/>
    <w:rsid w:val="00C07ACF"/>
    <w:rsid w:val="00C07E1E"/>
    <w:rsid w:val="00C10190"/>
    <w:rsid w:val="00C10B84"/>
    <w:rsid w:val="00C11533"/>
    <w:rsid w:val="00C11E76"/>
    <w:rsid w:val="00C222FD"/>
    <w:rsid w:val="00C27EF9"/>
    <w:rsid w:val="00C3018F"/>
    <w:rsid w:val="00C30671"/>
    <w:rsid w:val="00C308DA"/>
    <w:rsid w:val="00C333A7"/>
    <w:rsid w:val="00C354CA"/>
    <w:rsid w:val="00C365B9"/>
    <w:rsid w:val="00C4126D"/>
    <w:rsid w:val="00C43AF2"/>
    <w:rsid w:val="00C43F1C"/>
    <w:rsid w:val="00C45138"/>
    <w:rsid w:val="00C45FCA"/>
    <w:rsid w:val="00C46602"/>
    <w:rsid w:val="00C4750E"/>
    <w:rsid w:val="00C47696"/>
    <w:rsid w:val="00C5232B"/>
    <w:rsid w:val="00C5387A"/>
    <w:rsid w:val="00C53BED"/>
    <w:rsid w:val="00C577C8"/>
    <w:rsid w:val="00C57C9D"/>
    <w:rsid w:val="00C63E30"/>
    <w:rsid w:val="00C63F8A"/>
    <w:rsid w:val="00C7096C"/>
    <w:rsid w:val="00C73967"/>
    <w:rsid w:val="00C75126"/>
    <w:rsid w:val="00C84877"/>
    <w:rsid w:val="00C8598B"/>
    <w:rsid w:val="00C86FE7"/>
    <w:rsid w:val="00C875A9"/>
    <w:rsid w:val="00C87752"/>
    <w:rsid w:val="00C877F7"/>
    <w:rsid w:val="00C91245"/>
    <w:rsid w:val="00C93542"/>
    <w:rsid w:val="00C94023"/>
    <w:rsid w:val="00C94D8B"/>
    <w:rsid w:val="00C961D0"/>
    <w:rsid w:val="00C96EBF"/>
    <w:rsid w:val="00CA1BF3"/>
    <w:rsid w:val="00CA7465"/>
    <w:rsid w:val="00CB3CDE"/>
    <w:rsid w:val="00CB4889"/>
    <w:rsid w:val="00CB4F09"/>
    <w:rsid w:val="00CC6623"/>
    <w:rsid w:val="00CC682D"/>
    <w:rsid w:val="00CC7DA6"/>
    <w:rsid w:val="00CD31A0"/>
    <w:rsid w:val="00CD5D84"/>
    <w:rsid w:val="00CD5D90"/>
    <w:rsid w:val="00CD63F8"/>
    <w:rsid w:val="00CD6859"/>
    <w:rsid w:val="00CD724A"/>
    <w:rsid w:val="00CE1C9D"/>
    <w:rsid w:val="00CE2180"/>
    <w:rsid w:val="00CE41C3"/>
    <w:rsid w:val="00CE5750"/>
    <w:rsid w:val="00CE5E76"/>
    <w:rsid w:val="00CF166A"/>
    <w:rsid w:val="00CF3BFB"/>
    <w:rsid w:val="00D00569"/>
    <w:rsid w:val="00D0248B"/>
    <w:rsid w:val="00D04C06"/>
    <w:rsid w:val="00D056C3"/>
    <w:rsid w:val="00D05C61"/>
    <w:rsid w:val="00D0785E"/>
    <w:rsid w:val="00D102A7"/>
    <w:rsid w:val="00D1288A"/>
    <w:rsid w:val="00D12DC0"/>
    <w:rsid w:val="00D15473"/>
    <w:rsid w:val="00D17F0D"/>
    <w:rsid w:val="00D2125E"/>
    <w:rsid w:val="00D217A7"/>
    <w:rsid w:val="00D2614D"/>
    <w:rsid w:val="00D30F97"/>
    <w:rsid w:val="00D33169"/>
    <w:rsid w:val="00D333B8"/>
    <w:rsid w:val="00D33A21"/>
    <w:rsid w:val="00D34B10"/>
    <w:rsid w:val="00D353F4"/>
    <w:rsid w:val="00D357B5"/>
    <w:rsid w:val="00D403C2"/>
    <w:rsid w:val="00D43522"/>
    <w:rsid w:val="00D44EA3"/>
    <w:rsid w:val="00D464D4"/>
    <w:rsid w:val="00D563A5"/>
    <w:rsid w:val="00D56B07"/>
    <w:rsid w:val="00D56B5D"/>
    <w:rsid w:val="00D6031E"/>
    <w:rsid w:val="00D6159C"/>
    <w:rsid w:val="00D621DB"/>
    <w:rsid w:val="00D624C9"/>
    <w:rsid w:val="00D62C2A"/>
    <w:rsid w:val="00D63793"/>
    <w:rsid w:val="00D656A1"/>
    <w:rsid w:val="00D73611"/>
    <w:rsid w:val="00D74AC7"/>
    <w:rsid w:val="00D76B5D"/>
    <w:rsid w:val="00D81DBC"/>
    <w:rsid w:val="00D86399"/>
    <w:rsid w:val="00D86D7E"/>
    <w:rsid w:val="00D90810"/>
    <w:rsid w:val="00D9272D"/>
    <w:rsid w:val="00D93524"/>
    <w:rsid w:val="00D9394F"/>
    <w:rsid w:val="00D93BAD"/>
    <w:rsid w:val="00D95906"/>
    <w:rsid w:val="00D962D6"/>
    <w:rsid w:val="00D9644E"/>
    <w:rsid w:val="00D9707C"/>
    <w:rsid w:val="00D97CF9"/>
    <w:rsid w:val="00DA1319"/>
    <w:rsid w:val="00DA1ADF"/>
    <w:rsid w:val="00DA1B9F"/>
    <w:rsid w:val="00DA304D"/>
    <w:rsid w:val="00DA3073"/>
    <w:rsid w:val="00DA3785"/>
    <w:rsid w:val="00DA41F4"/>
    <w:rsid w:val="00DA4260"/>
    <w:rsid w:val="00DA6C26"/>
    <w:rsid w:val="00DB2DA2"/>
    <w:rsid w:val="00DB5B90"/>
    <w:rsid w:val="00DB6D67"/>
    <w:rsid w:val="00DC0E3E"/>
    <w:rsid w:val="00DC2093"/>
    <w:rsid w:val="00DC5690"/>
    <w:rsid w:val="00DC5C22"/>
    <w:rsid w:val="00DC60CE"/>
    <w:rsid w:val="00DC6D6A"/>
    <w:rsid w:val="00DC7F7C"/>
    <w:rsid w:val="00DD15B5"/>
    <w:rsid w:val="00DD25CA"/>
    <w:rsid w:val="00DD2630"/>
    <w:rsid w:val="00DD6E72"/>
    <w:rsid w:val="00DE1E3B"/>
    <w:rsid w:val="00DE3D0E"/>
    <w:rsid w:val="00DE4C7A"/>
    <w:rsid w:val="00DE4E86"/>
    <w:rsid w:val="00DE5E8F"/>
    <w:rsid w:val="00DE610C"/>
    <w:rsid w:val="00DF06A0"/>
    <w:rsid w:val="00DF2677"/>
    <w:rsid w:val="00DF48B1"/>
    <w:rsid w:val="00E05586"/>
    <w:rsid w:val="00E064E3"/>
    <w:rsid w:val="00E12807"/>
    <w:rsid w:val="00E15797"/>
    <w:rsid w:val="00E15F42"/>
    <w:rsid w:val="00E23202"/>
    <w:rsid w:val="00E235A3"/>
    <w:rsid w:val="00E23F32"/>
    <w:rsid w:val="00E24F33"/>
    <w:rsid w:val="00E253BA"/>
    <w:rsid w:val="00E2591B"/>
    <w:rsid w:val="00E27FD7"/>
    <w:rsid w:val="00E3205E"/>
    <w:rsid w:val="00E32625"/>
    <w:rsid w:val="00E327D0"/>
    <w:rsid w:val="00E32971"/>
    <w:rsid w:val="00E366B9"/>
    <w:rsid w:val="00E40AF1"/>
    <w:rsid w:val="00E422D1"/>
    <w:rsid w:val="00E436AD"/>
    <w:rsid w:val="00E46519"/>
    <w:rsid w:val="00E50968"/>
    <w:rsid w:val="00E526A4"/>
    <w:rsid w:val="00E53A05"/>
    <w:rsid w:val="00E55321"/>
    <w:rsid w:val="00E56B02"/>
    <w:rsid w:val="00E60998"/>
    <w:rsid w:val="00E67D3F"/>
    <w:rsid w:val="00E701E6"/>
    <w:rsid w:val="00E81663"/>
    <w:rsid w:val="00E82A8D"/>
    <w:rsid w:val="00E831BC"/>
    <w:rsid w:val="00E845AE"/>
    <w:rsid w:val="00E904B2"/>
    <w:rsid w:val="00E9155E"/>
    <w:rsid w:val="00E931FE"/>
    <w:rsid w:val="00E93ADC"/>
    <w:rsid w:val="00E942F5"/>
    <w:rsid w:val="00E949CC"/>
    <w:rsid w:val="00E96FE9"/>
    <w:rsid w:val="00E973F5"/>
    <w:rsid w:val="00EA0CE9"/>
    <w:rsid w:val="00EA0EFA"/>
    <w:rsid w:val="00EA4C31"/>
    <w:rsid w:val="00EA76B3"/>
    <w:rsid w:val="00EB0CCC"/>
    <w:rsid w:val="00EB2A33"/>
    <w:rsid w:val="00EB41E9"/>
    <w:rsid w:val="00EB4A34"/>
    <w:rsid w:val="00EB5EBC"/>
    <w:rsid w:val="00EC1713"/>
    <w:rsid w:val="00EC6D34"/>
    <w:rsid w:val="00ED12C3"/>
    <w:rsid w:val="00ED20E3"/>
    <w:rsid w:val="00ED2D2B"/>
    <w:rsid w:val="00ED3AC7"/>
    <w:rsid w:val="00ED573E"/>
    <w:rsid w:val="00ED5A66"/>
    <w:rsid w:val="00EE1252"/>
    <w:rsid w:val="00EE1B93"/>
    <w:rsid w:val="00EE2D46"/>
    <w:rsid w:val="00EE4614"/>
    <w:rsid w:val="00EE47FF"/>
    <w:rsid w:val="00EE707D"/>
    <w:rsid w:val="00EE7911"/>
    <w:rsid w:val="00EF2384"/>
    <w:rsid w:val="00EF6133"/>
    <w:rsid w:val="00EF66BC"/>
    <w:rsid w:val="00EF677F"/>
    <w:rsid w:val="00F0275B"/>
    <w:rsid w:val="00F03487"/>
    <w:rsid w:val="00F04DB9"/>
    <w:rsid w:val="00F0674D"/>
    <w:rsid w:val="00F06C4B"/>
    <w:rsid w:val="00F1147F"/>
    <w:rsid w:val="00F15335"/>
    <w:rsid w:val="00F22E8B"/>
    <w:rsid w:val="00F24B5C"/>
    <w:rsid w:val="00F27484"/>
    <w:rsid w:val="00F3192B"/>
    <w:rsid w:val="00F31F1B"/>
    <w:rsid w:val="00F324E0"/>
    <w:rsid w:val="00F35DE2"/>
    <w:rsid w:val="00F43FF3"/>
    <w:rsid w:val="00F4763F"/>
    <w:rsid w:val="00F5124B"/>
    <w:rsid w:val="00F5468A"/>
    <w:rsid w:val="00F6105F"/>
    <w:rsid w:val="00F6282B"/>
    <w:rsid w:val="00F62FA4"/>
    <w:rsid w:val="00F66F53"/>
    <w:rsid w:val="00F66F75"/>
    <w:rsid w:val="00F672D0"/>
    <w:rsid w:val="00F67765"/>
    <w:rsid w:val="00F71040"/>
    <w:rsid w:val="00F71299"/>
    <w:rsid w:val="00F71A6A"/>
    <w:rsid w:val="00F71EF7"/>
    <w:rsid w:val="00F73D18"/>
    <w:rsid w:val="00F8030D"/>
    <w:rsid w:val="00F81D9F"/>
    <w:rsid w:val="00F83058"/>
    <w:rsid w:val="00F84176"/>
    <w:rsid w:val="00F85D13"/>
    <w:rsid w:val="00F86898"/>
    <w:rsid w:val="00F90608"/>
    <w:rsid w:val="00F90FED"/>
    <w:rsid w:val="00F94742"/>
    <w:rsid w:val="00F95849"/>
    <w:rsid w:val="00F95A0E"/>
    <w:rsid w:val="00FA151A"/>
    <w:rsid w:val="00FA290D"/>
    <w:rsid w:val="00FA4D81"/>
    <w:rsid w:val="00FA5EE5"/>
    <w:rsid w:val="00FA6E17"/>
    <w:rsid w:val="00FC2A71"/>
    <w:rsid w:val="00FC3A80"/>
    <w:rsid w:val="00FC79F5"/>
    <w:rsid w:val="00FD2F6E"/>
    <w:rsid w:val="00FD3E2F"/>
    <w:rsid w:val="00FD5A8C"/>
    <w:rsid w:val="00FE5C73"/>
    <w:rsid w:val="00FE64DE"/>
    <w:rsid w:val="00FE6B5B"/>
    <w:rsid w:val="00FE6C7B"/>
    <w:rsid w:val="00FE6E31"/>
    <w:rsid w:val="00FE766A"/>
    <w:rsid w:val="00FF073B"/>
    <w:rsid w:val="00FF1ACA"/>
    <w:rsid w:val="00FF2F55"/>
    <w:rsid w:val="00FF4FCC"/>
    <w:rsid w:val="00FF54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iPriority="99" w:unhideWhenUsed="0" w:qFormat="1"/>
    <w:lsdException w:name="heading 6" w:semiHidden="0" w:unhideWhenUsed="0"/>
    <w:lsdException w:name="heading 7" w:uiPriority="99" w:qFormat="1"/>
    <w:lsdException w:name="heading 8" w:uiPriority="99" w:qFormat="1"/>
    <w:lsdException w:name="heading 9" w:uiPriority="99" w:qFormat="1"/>
    <w:lsdException w:name="caption"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semiHidden/>
    <w:qFormat/>
    <w:rsid w:val="00CB3CDE"/>
    <w:pPr>
      <w:suppressAutoHyphens/>
    </w:pPr>
    <w:rPr>
      <w:sz w:val="24"/>
      <w:szCs w:val="22"/>
      <w:lang w:eastAsia="fr-FR"/>
    </w:rPr>
  </w:style>
  <w:style w:type="paragraph" w:styleId="Titre1">
    <w:name w:val="heading 1"/>
    <w:basedOn w:val="Normal"/>
    <w:next w:val="Normal"/>
    <w:semiHidden/>
    <w:rsid w:val="00CB3CDE"/>
    <w:pPr>
      <w:keepNext/>
      <w:numPr>
        <w:numId w:val="23"/>
      </w:numPr>
      <w:spacing w:before="360" w:after="240"/>
      <w:jc w:val="center"/>
      <w:outlineLvl w:val="0"/>
    </w:pPr>
    <w:rPr>
      <w:b/>
      <w:sz w:val="28"/>
    </w:rPr>
  </w:style>
  <w:style w:type="paragraph" w:styleId="Titre2">
    <w:name w:val="heading 2"/>
    <w:basedOn w:val="Normal"/>
    <w:next w:val="Normal"/>
    <w:semiHidden/>
    <w:rsid w:val="00CB3CDE"/>
    <w:pPr>
      <w:keepNext/>
      <w:numPr>
        <w:ilvl w:val="1"/>
        <w:numId w:val="23"/>
      </w:numPr>
      <w:spacing w:before="240" w:after="120"/>
      <w:outlineLvl w:val="1"/>
    </w:pPr>
    <w:rPr>
      <w:b/>
    </w:rPr>
  </w:style>
  <w:style w:type="paragraph" w:styleId="Titre3">
    <w:name w:val="heading 3"/>
    <w:basedOn w:val="Normal"/>
    <w:next w:val="Normal"/>
    <w:semiHidden/>
    <w:rsid w:val="00CB3CDE"/>
    <w:pPr>
      <w:keepNext/>
      <w:numPr>
        <w:ilvl w:val="2"/>
        <w:numId w:val="23"/>
      </w:numPr>
      <w:spacing w:before="120" w:after="60"/>
      <w:outlineLvl w:val="2"/>
    </w:pPr>
    <w:rPr>
      <w:i/>
    </w:rPr>
  </w:style>
  <w:style w:type="paragraph" w:styleId="Titre4">
    <w:name w:val="heading 4"/>
    <w:basedOn w:val="Normal"/>
    <w:next w:val="Normal"/>
    <w:semiHidden/>
    <w:rsid w:val="00CB3CDE"/>
    <w:pPr>
      <w:keepNext/>
      <w:numPr>
        <w:ilvl w:val="3"/>
        <w:numId w:val="23"/>
      </w:numPr>
      <w:spacing w:before="240" w:after="60"/>
      <w:outlineLvl w:val="3"/>
    </w:pPr>
    <w:rPr>
      <w:b/>
      <w:bCs/>
      <w:sz w:val="28"/>
      <w:szCs w:val="28"/>
    </w:rPr>
  </w:style>
  <w:style w:type="paragraph" w:styleId="Titre5">
    <w:name w:val="heading 5"/>
    <w:basedOn w:val="Normal"/>
    <w:next w:val="Normal"/>
    <w:link w:val="Titre5Car"/>
    <w:uiPriority w:val="99"/>
    <w:semiHidden/>
    <w:qFormat/>
    <w:rsid w:val="007F47C8"/>
    <w:pPr>
      <w:suppressAutoHyphens w:val="0"/>
      <w:spacing w:before="200"/>
      <w:jc w:val="both"/>
      <w:outlineLvl w:val="4"/>
    </w:pPr>
    <w:rPr>
      <w:b/>
      <w:bCs/>
      <w:color w:val="808080"/>
      <w:sz w:val="22"/>
      <w:lang w:eastAsia="en-GB"/>
    </w:rPr>
  </w:style>
  <w:style w:type="paragraph" w:styleId="Titre6">
    <w:name w:val="heading 6"/>
    <w:basedOn w:val="Normal"/>
    <w:next w:val="Normal"/>
    <w:semiHidden/>
    <w:rsid w:val="00CB3CDE"/>
    <w:pPr>
      <w:numPr>
        <w:ilvl w:val="5"/>
        <w:numId w:val="23"/>
      </w:numPr>
      <w:spacing w:before="240" w:after="60"/>
      <w:outlineLvl w:val="5"/>
    </w:pPr>
    <w:rPr>
      <w:b/>
      <w:bCs/>
      <w:sz w:val="22"/>
    </w:rPr>
  </w:style>
  <w:style w:type="paragraph" w:styleId="Titre7">
    <w:name w:val="heading 7"/>
    <w:basedOn w:val="Normal"/>
    <w:next w:val="Normal"/>
    <w:link w:val="Titre7Car"/>
    <w:uiPriority w:val="99"/>
    <w:semiHidden/>
    <w:qFormat/>
    <w:rsid w:val="007F47C8"/>
    <w:pPr>
      <w:suppressAutoHyphens w:val="0"/>
      <w:jc w:val="both"/>
      <w:outlineLvl w:val="6"/>
    </w:pPr>
    <w:rPr>
      <w:i/>
      <w:iCs/>
      <w:sz w:val="22"/>
      <w:lang w:eastAsia="en-GB" w:bidi="en-US"/>
    </w:rPr>
  </w:style>
  <w:style w:type="paragraph" w:styleId="Titre8">
    <w:name w:val="heading 8"/>
    <w:basedOn w:val="Normal"/>
    <w:next w:val="Normal"/>
    <w:link w:val="Titre8Car"/>
    <w:uiPriority w:val="99"/>
    <w:semiHidden/>
    <w:qFormat/>
    <w:rsid w:val="007F47C8"/>
    <w:pPr>
      <w:suppressAutoHyphens w:val="0"/>
      <w:jc w:val="both"/>
      <w:outlineLvl w:val="7"/>
    </w:pPr>
    <w:rPr>
      <w:sz w:val="20"/>
      <w:szCs w:val="20"/>
      <w:lang w:eastAsia="en-GB" w:bidi="en-US"/>
    </w:rPr>
  </w:style>
  <w:style w:type="paragraph" w:styleId="Titre9">
    <w:name w:val="heading 9"/>
    <w:basedOn w:val="Normal"/>
    <w:next w:val="Normal"/>
    <w:link w:val="Titre9Car"/>
    <w:uiPriority w:val="99"/>
    <w:semiHidden/>
    <w:qFormat/>
    <w:rsid w:val="007F47C8"/>
    <w:pPr>
      <w:suppressAutoHyphens w:val="0"/>
      <w:jc w:val="both"/>
      <w:outlineLvl w:val="8"/>
    </w:pPr>
    <w:rPr>
      <w:i/>
      <w:iCs/>
      <w:spacing w:val="5"/>
      <w:sz w:val="20"/>
      <w:szCs w:val="20"/>
      <w:lang w:eastAsia="en-GB"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HRHeading1">
    <w:name w:val="ECHR_Heading_1"/>
    <w:aliases w:val="Ju_H_I_Roman"/>
    <w:basedOn w:val="Titre1"/>
    <w:next w:val="JuPara"/>
    <w:uiPriority w:val="19"/>
    <w:qFormat/>
    <w:rsid w:val="007F47C8"/>
    <w:pPr>
      <w:keepLines/>
      <w:numPr>
        <w:numId w:val="0"/>
      </w:numPr>
      <w:tabs>
        <w:tab w:val="left" w:pos="357"/>
      </w:tabs>
      <w:suppressAutoHyphens w:val="0"/>
      <w:ind w:left="357" w:hanging="357"/>
      <w:jc w:val="both"/>
    </w:pPr>
    <w:rPr>
      <w:b w:val="0"/>
      <w:bCs/>
      <w:sz w:val="24"/>
      <w:szCs w:val="28"/>
      <w:lang w:eastAsia="en-GB"/>
    </w:rPr>
  </w:style>
  <w:style w:type="paragraph" w:customStyle="1" w:styleId="ECHRTitle1">
    <w:name w:val="ECHR_Title_1"/>
    <w:aliases w:val="Ju_H_Head"/>
    <w:basedOn w:val="Normal"/>
    <w:next w:val="JuPara"/>
    <w:uiPriority w:val="18"/>
    <w:qFormat/>
    <w:rsid w:val="007F47C8"/>
    <w:pPr>
      <w:keepNext/>
      <w:keepLines/>
      <w:suppressAutoHyphens w:val="0"/>
      <w:spacing w:before="720" w:after="240"/>
      <w:jc w:val="both"/>
      <w:outlineLvl w:val="0"/>
    </w:pPr>
    <w:rPr>
      <w:sz w:val="28"/>
      <w:lang w:eastAsia="en-GB"/>
    </w:rPr>
  </w:style>
  <w:style w:type="paragraph" w:customStyle="1" w:styleId="JuPara">
    <w:name w:val="Ju_Para"/>
    <w:aliases w:val="Left,First line:  0 cm,ECHR_Para,Para"/>
    <w:basedOn w:val="Normal"/>
    <w:link w:val="JuParaChar"/>
    <w:uiPriority w:val="12"/>
    <w:qFormat/>
    <w:rsid w:val="007F47C8"/>
    <w:pPr>
      <w:suppressAutoHyphens w:val="0"/>
      <w:ind w:firstLine="284"/>
      <w:jc w:val="both"/>
    </w:pPr>
    <w:rPr>
      <w:lang w:eastAsia="en-GB"/>
    </w:rPr>
  </w:style>
  <w:style w:type="character" w:customStyle="1" w:styleId="JuParaChar">
    <w:name w:val="Ju_Para Char"/>
    <w:link w:val="JuPara"/>
    <w:uiPriority w:val="12"/>
    <w:rsid w:val="00B921A8"/>
    <w:rPr>
      <w:rFonts w:eastAsia="Times New Roman"/>
      <w:sz w:val="24"/>
    </w:rPr>
  </w:style>
  <w:style w:type="paragraph" w:styleId="Pieddepage">
    <w:name w:val="footer"/>
    <w:basedOn w:val="NormalTimesNewRoman"/>
    <w:semiHidden/>
    <w:rsid w:val="00CB3CDE"/>
    <w:pPr>
      <w:tabs>
        <w:tab w:val="center" w:pos="3686"/>
        <w:tab w:val="right" w:pos="7371"/>
      </w:tabs>
    </w:pPr>
    <w:rPr>
      <w:sz w:val="18"/>
    </w:rPr>
  </w:style>
  <w:style w:type="paragraph" w:customStyle="1" w:styleId="ECHRDecisionBody">
    <w:name w:val="ECHR_Decision_Body"/>
    <w:aliases w:val="Ju_Judges"/>
    <w:basedOn w:val="Normal"/>
    <w:link w:val="JuJudgesChar"/>
    <w:uiPriority w:val="11"/>
    <w:qFormat/>
    <w:rsid w:val="007F47C8"/>
    <w:pPr>
      <w:tabs>
        <w:tab w:val="left" w:pos="567"/>
        <w:tab w:val="left" w:pos="1134"/>
      </w:tabs>
      <w:suppressAutoHyphens w:val="0"/>
    </w:pPr>
    <w:rPr>
      <w:lang w:eastAsia="en-GB"/>
    </w:rPr>
  </w:style>
  <w:style w:type="character" w:customStyle="1" w:styleId="JuJudgesChar">
    <w:name w:val="Ju_Judges Char"/>
    <w:link w:val="ECHRDecisionBody"/>
    <w:uiPriority w:val="11"/>
    <w:locked/>
    <w:rsid w:val="00D15473"/>
    <w:rPr>
      <w:rFonts w:eastAsia="Times New Roman"/>
      <w:sz w:val="24"/>
    </w:rPr>
  </w:style>
  <w:style w:type="paragraph" w:customStyle="1" w:styleId="ECHRHeading2">
    <w:name w:val="ECHR_Heading_2"/>
    <w:aliases w:val="Ju_H_A"/>
    <w:basedOn w:val="Titre2"/>
    <w:next w:val="JuPara"/>
    <w:uiPriority w:val="20"/>
    <w:qFormat/>
    <w:rsid w:val="007F47C8"/>
    <w:pPr>
      <w:keepLines/>
      <w:numPr>
        <w:ilvl w:val="0"/>
        <w:numId w:val="0"/>
      </w:numPr>
      <w:tabs>
        <w:tab w:val="left" w:pos="584"/>
      </w:tabs>
      <w:suppressAutoHyphens w:val="0"/>
      <w:spacing w:before="360" w:after="240"/>
      <w:ind w:left="584" w:hanging="352"/>
      <w:jc w:val="both"/>
    </w:pPr>
    <w:rPr>
      <w:bCs/>
      <w:szCs w:val="26"/>
      <w:lang w:eastAsia="en-GB"/>
    </w:rPr>
  </w:style>
  <w:style w:type="paragraph" w:customStyle="1" w:styleId="ECHRParaQuote">
    <w:name w:val="ECHR_Para_Quote"/>
    <w:aliases w:val="Ju_Quot"/>
    <w:basedOn w:val="Normal"/>
    <w:link w:val="JuQuotChar"/>
    <w:uiPriority w:val="14"/>
    <w:qFormat/>
    <w:rsid w:val="007F47C8"/>
    <w:pPr>
      <w:suppressAutoHyphens w:val="0"/>
      <w:spacing w:before="120" w:after="120"/>
      <w:ind w:left="425" w:firstLine="142"/>
      <w:jc w:val="both"/>
    </w:pPr>
    <w:rPr>
      <w:sz w:val="20"/>
      <w:lang w:eastAsia="en-GB"/>
    </w:rPr>
  </w:style>
  <w:style w:type="paragraph" w:customStyle="1" w:styleId="JuSigned">
    <w:name w:val="Ju_Signed"/>
    <w:basedOn w:val="Normal"/>
    <w:next w:val="JuParaLast"/>
    <w:link w:val="JuSignedChar"/>
    <w:uiPriority w:val="32"/>
    <w:qFormat/>
    <w:rsid w:val="007F47C8"/>
    <w:pPr>
      <w:tabs>
        <w:tab w:val="center" w:pos="851"/>
        <w:tab w:val="center" w:pos="6407"/>
      </w:tabs>
      <w:suppressAutoHyphens w:val="0"/>
      <w:spacing w:before="720"/>
    </w:pPr>
    <w:rPr>
      <w:lang w:eastAsia="en-GB"/>
    </w:rPr>
  </w:style>
  <w:style w:type="paragraph" w:customStyle="1" w:styleId="JuParaLast">
    <w:name w:val="Ju_Para_Last"/>
    <w:basedOn w:val="Normal"/>
    <w:next w:val="JuPara"/>
    <w:qFormat/>
    <w:rsid w:val="007F47C8"/>
    <w:pPr>
      <w:keepNext/>
      <w:keepLines/>
      <w:suppressAutoHyphens w:val="0"/>
      <w:spacing w:before="240"/>
      <w:ind w:firstLine="284"/>
      <w:jc w:val="both"/>
    </w:pPr>
    <w:rPr>
      <w:lang w:eastAsia="en-GB"/>
    </w:rPr>
  </w:style>
  <w:style w:type="character" w:customStyle="1" w:styleId="JuSignedChar">
    <w:name w:val="Ju_Signed Char"/>
    <w:link w:val="JuSigned"/>
    <w:uiPriority w:val="32"/>
    <w:rsid w:val="000726F6"/>
    <w:rPr>
      <w:rFonts w:eastAsia="Times New Roman"/>
      <w:sz w:val="24"/>
    </w:rPr>
  </w:style>
  <w:style w:type="paragraph" w:customStyle="1" w:styleId="JuCase">
    <w:name w:val="Ju_Case"/>
    <w:basedOn w:val="JuPara"/>
    <w:next w:val="JuPara"/>
    <w:link w:val="JuCaseChar"/>
    <w:rsid w:val="00CB3CDE"/>
    <w:rPr>
      <w:b/>
    </w:rPr>
  </w:style>
  <w:style w:type="character" w:customStyle="1" w:styleId="JuCaseChar">
    <w:name w:val="Ju_Case Char"/>
    <w:link w:val="JuCase"/>
    <w:rsid w:val="00B921A8"/>
    <w:rPr>
      <w:b/>
      <w:sz w:val="24"/>
      <w:lang w:val="en-GB" w:eastAsia="fr-FR"/>
    </w:rPr>
  </w:style>
  <w:style w:type="paragraph" w:customStyle="1" w:styleId="JuList">
    <w:name w:val="Ju_List"/>
    <w:basedOn w:val="Normal"/>
    <w:link w:val="JuListChar"/>
    <w:uiPriority w:val="28"/>
    <w:qFormat/>
    <w:rsid w:val="007F47C8"/>
    <w:pPr>
      <w:suppressAutoHyphens w:val="0"/>
      <w:ind w:left="340" w:hanging="340"/>
      <w:jc w:val="both"/>
    </w:pPr>
    <w:rPr>
      <w:lang w:eastAsia="en-GB"/>
    </w:rPr>
  </w:style>
  <w:style w:type="character" w:customStyle="1" w:styleId="JuListChar">
    <w:name w:val="Ju_List Char"/>
    <w:link w:val="JuList"/>
    <w:uiPriority w:val="28"/>
    <w:rsid w:val="00930CD7"/>
    <w:rPr>
      <w:rFonts w:eastAsia="Times New Roman"/>
      <w:sz w:val="24"/>
    </w:rPr>
  </w:style>
  <w:style w:type="paragraph" w:customStyle="1" w:styleId="JuCourt">
    <w:name w:val="Ju_Court"/>
    <w:basedOn w:val="Normal"/>
    <w:next w:val="Normal"/>
    <w:uiPriority w:val="16"/>
    <w:qFormat/>
    <w:rsid w:val="007F47C8"/>
    <w:pPr>
      <w:tabs>
        <w:tab w:val="left" w:pos="907"/>
        <w:tab w:val="left" w:pos="1701"/>
        <w:tab w:val="right" w:pos="7371"/>
      </w:tabs>
      <w:suppressAutoHyphens w:val="0"/>
      <w:spacing w:before="240"/>
      <w:ind w:left="397" w:hanging="397"/>
    </w:pPr>
    <w:rPr>
      <w:lang w:eastAsia="en-GB" w:bidi="en-US"/>
    </w:rPr>
  </w:style>
  <w:style w:type="paragraph" w:styleId="Notedebasdepage">
    <w:name w:val="footnote text"/>
    <w:basedOn w:val="Normal"/>
    <w:semiHidden/>
    <w:rsid w:val="00CB3CDE"/>
    <w:pPr>
      <w:jc w:val="both"/>
    </w:pPr>
    <w:rPr>
      <w:sz w:val="20"/>
    </w:rPr>
  </w:style>
  <w:style w:type="character" w:styleId="Marquenotebasdepage">
    <w:name w:val="footnote reference"/>
    <w:semiHidden/>
    <w:rsid w:val="00CB3CDE"/>
    <w:rPr>
      <w:vertAlign w:val="superscript"/>
    </w:rPr>
  </w:style>
  <w:style w:type="paragraph" w:styleId="En-tte">
    <w:name w:val="header"/>
    <w:basedOn w:val="NormalTimesNewRoman"/>
    <w:semiHidden/>
    <w:rsid w:val="00CB3CDE"/>
    <w:pPr>
      <w:tabs>
        <w:tab w:val="center" w:pos="3686"/>
        <w:tab w:val="right" w:pos="7371"/>
      </w:tabs>
    </w:pPr>
    <w:rPr>
      <w:sz w:val="18"/>
    </w:rPr>
  </w:style>
  <w:style w:type="character" w:styleId="Numrodepage">
    <w:name w:val="page number"/>
    <w:semiHidden/>
    <w:rsid w:val="00CB3CDE"/>
    <w:rPr>
      <w:sz w:val="18"/>
    </w:rPr>
  </w:style>
  <w:style w:type="paragraph" w:customStyle="1" w:styleId="JuLista">
    <w:name w:val="Ju_List_a"/>
    <w:basedOn w:val="JuList"/>
    <w:uiPriority w:val="28"/>
    <w:qFormat/>
    <w:rsid w:val="007F47C8"/>
    <w:pPr>
      <w:ind w:left="346" w:firstLine="0"/>
    </w:pPr>
  </w:style>
  <w:style w:type="paragraph" w:customStyle="1" w:styleId="JuListi">
    <w:name w:val="Ju_List_i"/>
    <w:basedOn w:val="Normal"/>
    <w:next w:val="JuLista"/>
    <w:uiPriority w:val="28"/>
    <w:qFormat/>
    <w:rsid w:val="007F47C8"/>
    <w:pPr>
      <w:suppressAutoHyphens w:val="0"/>
      <w:ind w:left="794"/>
      <w:jc w:val="both"/>
    </w:pPr>
    <w:rPr>
      <w:lang w:eastAsia="en-GB"/>
    </w:rPr>
  </w:style>
  <w:style w:type="character" w:styleId="Marquedannotation">
    <w:name w:val="annotation reference"/>
    <w:semiHidden/>
    <w:rsid w:val="00CB3CDE"/>
    <w:rPr>
      <w:sz w:val="16"/>
      <w:szCs w:val="16"/>
    </w:rPr>
  </w:style>
  <w:style w:type="paragraph" w:styleId="Commentaire">
    <w:name w:val="annotation text"/>
    <w:basedOn w:val="Normal"/>
    <w:semiHidden/>
    <w:rsid w:val="00CB3CDE"/>
    <w:rPr>
      <w:sz w:val="20"/>
    </w:rPr>
  </w:style>
  <w:style w:type="paragraph" w:styleId="Textedebulles">
    <w:name w:val="Balloon Text"/>
    <w:basedOn w:val="Normal"/>
    <w:semiHidden/>
    <w:rsid w:val="00CB3CDE"/>
    <w:rPr>
      <w:rFonts w:ascii="Tahoma" w:hAnsi="Tahoma" w:cs="Tahoma"/>
      <w:sz w:val="16"/>
      <w:szCs w:val="16"/>
    </w:rPr>
  </w:style>
  <w:style w:type="paragraph" w:styleId="Objetducommentaire">
    <w:name w:val="annotation subject"/>
    <w:basedOn w:val="Commentaire"/>
    <w:next w:val="Commentaire"/>
    <w:semiHidden/>
    <w:rsid w:val="00CB3CDE"/>
    <w:rPr>
      <w:b/>
      <w:bCs/>
    </w:rPr>
  </w:style>
  <w:style w:type="character" w:styleId="Marquedenotedefin">
    <w:name w:val="endnote reference"/>
    <w:semiHidden/>
    <w:rsid w:val="00CB3CDE"/>
    <w:rPr>
      <w:vertAlign w:val="superscript"/>
    </w:rPr>
  </w:style>
  <w:style w:type="paragraph" w:styleId="Notedefin">
    <w:name w:val="endnote text"/>
    <w:basedOn w:val="Normal"/>
    <w:semiHidden/>
    <w:rsid w:val="00CB3CDE"/>
    <w:rPr>
      <w:sz w:val="20"/>
    </w:rPr>
  </w:style>
  <w:style w:type="character" w:styleId="Lienhypertextesuivi">
    <w:name w:val="FollowedHyperlink"/>
    <w:semiHidden/>
    <w:rsid w:val="00CB3CDE"/>
    <w:rPr>
      <w:color w:val="800080"/>
      <w:u w:val="single"/>
    </w:rPr>
  </w:style>
  <w:style w:type="character" w:styleId="Lienhypertexte">
    <w:name w:val="Hyperlink"/>
    <w:semiHidden/>
    <w:rsid w:val="00CB3CDE"/>
    <w:rPr>
      <w:color w:val="0000FF"/>
      <w:u w:val="single"/>
    </w:rPr>
  </w:style>
  <w:style w:type="character" w:styleId="lev">
    <w:name w:val="Strong"/>
    <w:uiPriority w:val="99"/>
    <w:semiHidden/>
    <w:qFormat/>
    <w:rsid w:val="007F47C8"/>
    <w:rPr>
      <w:b/>
      <w:bCs/>
    </w:rPr>
  </w:style>
  <w:style w:type="paragraph" w:styleId="Explorateurdedocument">
    <w:name w:val="Document Map"/>
    <w:basedOn w:val="Normal"/>
    <w:semiHidden/>
    <w:rsid w:val="00CB3CDE"/>
    <w:pPr>
      <w:shd w:val="clear" w:color="auto" w:fill="000080"/>
    </w:pPr>
    <w:rPr>
      <w:rFonts w:ascii="Tahoma" w:hAnsi="Tahoma" w:cs="Tahoma"/>
      <w:sz w:val="20"/>
    </w:rPr>
  </w:style>
  <w:style w:type="character" w:customStyle="1" w:styleId="JuNames">
    <w:name w:val="Ju_Names"/>
    <w:rsid w:val="00CB3CDE"/>
    <w:rPr>
      <w:smallCaps/>
    </w:rPr>
  </w:style>
  <w:style w:type="paragraph" w:styleId="Listepuces">
    <w:name w:val="List Bullet"/>
    <w:basedOn w:val="NormalTimesNewRoman"/>
    <w:semiHidden/>
    <w:rsid w:val="00CB3CDE"/>
    <w:pPr>
      <w:numPr>
        <w:numId w:val="24"/>
      </w:numPr>
    </w:pPr>
  </w:style>
  <w:style w:type="character" w:customStyle="1" w:styleId="JuITMark">
    <w:name w:val="Ju_ITMark"/>
    <w:uiPriority w:val="38"/>
    <w:qFormat/>
    <w:rsid w:val="007F47C8"/>
    <w:rPr>
      <w:vanish w:val="0"/>
      <w:color w:val="auto"/>
      <w:sz w:val="14"/>
    </w:rPr>
  </w:style>
  <w:style w:type="paragraph" w:customStyle="1" w:styleId="ECHRHeader">
    <w:name w:val="ECHR_Header"/>
    <w:aliases w:val="Ju_Header"/>
    <w:basedOn w:val="En-tte"/>
    <w:uiPriority w:val="4"/>
    <w:qFormat/>
    <w:rsid w:val="007F47C8"/>
    <w:rPr>
      <w:lang w:eastAsia="en-GB"/>
    </w:rPr>
  </w:style>
  <w:style w:type="character" w:customStyle="1" w:styleId="sb8d990e2">
    <w:name w:val="sb8d990e2"/>
    <w:rsid w:val="00147E34"/>
  </w:style>
  <w:style w:type="character" w:customStyle="1" w:styleId="JuParaCar">
    <w:name w:val="Ju_Para Car"/>
    <w:uiPriority w:val="12"/>
    <w:rsid w:val="00491FF5"/>
    <w:rPr>
      <w:sz w:val="24"/>
      <w:lang w:val="en-GB" w:eastAsia="fr-FR" w:bidi="ar-SA"/>
    </w:rPr>
  </w:style>
  <w:style w:type="paragraph" w:customStyle="1" w:styleId="ECHRHeading4">
    <w:name w:val="ECHR_Heading_4"/>
    <w:aliases w:val="Ju_H_a"/>
    <w:basedOn w:val="Titre4"/>
    <w:next w:val="JuPara"/>
    <w:uiPriority w:val="22"/>
    <w:qFormat/>
    <w:rsid w:val="007F47C8"/>
    <w:pPr>
      <w:keepLines/>
      <w:numPr>
        <w:ilvl w:val="0"/>
        <w:numId w:val="0"/>
      </w:numPr>
      <w:tabs>
        <w:tab w:val="left" w:pos="975"/>
      </w:tabs>
      <w:suppressAutoHyphens w:val="0"/>
      <w:spacing w:after="120"/>
      <w:ind w:left="975" w:hanging="340"/>
      <w:jc w:val="both"/>
    </w:pPr>
    <w:rPr>
      <w:iCs/>
      <w:sz w:val="20"/>
      <w:szCs w:val="22"/>
      <w:lang w:eastAsia="en-GB"/>
    </w:rPr>
  </w:style>
  <w:style w:type="paragraph" w:customStyle="1" w:styleId="ECHRHeading3">
    <w:name w:val="ECHR_Heading_3"/>
    <w:aliases w:val="Ju_H_1."/>
    <w:basedOn w:val="Titre3"/>
    <w:next w:val="JuPara"/>
    <w:uiPriority w:val="21"/>
    <w:qFormat/>
    <w:rsid w:val="007F47C8"/>
    <w:pPr>
      <w:keepLines/>
      <w:numPr>
        <w:ilvl w:val="0"/>
        <w:numId w:val="0"/>
      </w:numPr>
      <w:tabs>
        <w:tab w:val="left" w:pos="731"/>
      </w:tabs>
      <w:suppressAutoHyphens w:val="0"/>
      <w:spacing w:before="240" w:after="120"/>
      <w:ind w:left="732" w:hanging="301"/>
      <w:jc w:val="both"/>
    </w:pPr>
    <w:rPr>
      <w:bCs/>
      <w:lang w:eastAsia="en-GB"/>
    </w:rPr>
  </w:style>
  <w:style w:type="character" w:customStyle="1" w:styleId="JuQuotChar">
    <w:name w:val="Ju_Quot Char"/>
    <w:link w:val="ECHRParaQuote"/>
    <w:uiPriority w:val="14"/>
    <w:rsid w:val="00491FF5"/>
    <w:rPr>
      <w:rFonts w:eastAsia="Times New Roman"/>
      <w:sz w:val="20"/>
      <w:lang w:val="en-GB" w:eastAsia="fr-FR" w:bidi="ar-SA"/>
    </w:rPr>
  </w:style>
  <w:style w:type="paragraph" w:customStyle="1" w:styleId="NormalTimesNewRoman">
    <w:name w:val="Normal_TimesNewRoman"/>
    <w:rsid w:val="00CB3CDE"/>
    <w:rPr>
      <w:sz w:val="24"/>
      <w:szCs w:val="22"/>
      <w:lang w:eastAsia="fr-FR"/>
    </w:rPr>
  </w:style>
  <w:style w:type="character" w:customStyle="1" w:styleId="DefaultTimesNewRoman">
    <w:name w:val="Default_TimesNewRoman"/>
    <w:rsid w:val="00CB3CDE"/>
    <w:rPr>
      <w:rFonts w:ascii="Times New Roman" w:hAnsi="Times New Roman"/>
    </w:rPr>
  </w:style>
  <w:style w:type="paragraph" w:customStyle="1" w:styleId="DecHCase">
    <w:name w:val="Dec_H_Case"/>
    <w:basedOn w:val="DecHTitle"/>
    <w:next w:val="JuPara"/>
    <w:rsid w:val="00CB3CDE"/>
    <w:rPr>
      <w:sz w:val="24"/>
    </w:rPr>
  </w:style>
  <w:style w:type="paragraph" w:customStyle="1" w:styleId="DecHTitle">
    <w:name w:val="Dec_H_Title"/>
    <w:basedOn w:val="NormalTimesNewRoman"/>
    <w:rsid w:val="00CB3CDE"/>
    <w:pPr>
      <w:spacing w:after="240"/>
      <w:jc w:val="center"/>
      <w:outlineLvl w:val="0"/>
    </w:pPr>
    <w:rPr>
      <w:sz w:val="28"/>
    </w:rPr>
  </w:style>
  <w:style w:type="paragraph" w:customStyle="1" w:styleId="DecList">
    <w:name w:val="Dec_List"/>
    <w:basedOn w:val="NormalTimesNewRoman"/>
    <w:rsid w:val="00CB3CDE"/>
    <w:pPr>
      <w:spacing w:before="240"/>
      <w:ind w:left="284"/>
      <w:jc w:val="both"/>
    </w:pPr>
  </w:style>
  <w:style w:type="paragraph" w:customStyle="1" w:styleId="JuAppQuestion">
    <w:name w:val="Ju_App_Question"/>
    <w:basedOn w:val="Listepuces"/>
    <w:rsid w:val="00CB3CDE"/>
    <w:pPr>
      <w:numPr>
        <w:numId w:val="25"/>
      </w:numPr>
    </w:pPr>
    <w:rPr>
      <w:b/>
      <w:color w:val="333333"/>
    </w:rPr>
  </w:style>
  <w:style w:type="paragraph" w:customStyle="1" w:styleId="ECHRHeading7">
    <w:name w:val="ECHR_Heading_7"/>
    <w:aliases w:val="Ju_H_–"/>
    <w:basedOn w:val="Titre7"/>
    <w:next w:val="JuPara"/>
    <w:uiPriority w:val="25"/>
    <w:qFormat/>
    <w:rsid w:val="007F47C8"/>
    <w:pPr>
      <w:keepNext/>
      <w:keepLines/>
      <w:spacing w:before="240" w:after="120"/>
      <w:ind w:left="1236"/>
    </w:pPr>
    <w:rPr>
      <w:sz w:val="20"/>
    </w:rPr>
  </w:style>
  <w:style w:type="paragraph" w:customStyle="1" w:styleId="ECHRHeading6">
    <w:name w:val="ECHR_Heading_6"/>
    <w:aliases w:val="Ju_H_alpha"/>
    <w:basedOn w:val="Titre6"/>
    <w:next w:val="JuPara"/>
    <w:uiPriority w:val="24"/>
    <w:qFormat/>
    <w:rsid w:val="007F47C8"/>
    <w:pPr>
      <w:keepNext/>
      <w:keepLines/>
      <w:numPr>
        <w:ilvl w:val="0"/>
        <w:numId w:val="0"/>
      </w:numPr>
      <w:tabs>
        <w:tab w:val="left" w:pos="1372"/>
      </w:tabs>
      <w:suppressAutoHyphens w:val="0"/>
      <w:spacing w:after="120"/>
      <w:ind w:left="1373" w:hanging="335"/>
      <w:jc w:val="both"/>
    </w:pPr>
    <w:rPr>
      <w:b w:val="0"/>
      <w:i/>
      <w:iCs/>
      <w:sz w:val="20"/>
      <w:lang w:eastAsia="en-GB" w:bidi="en-US"/>
    </w:rPr>
  </w:style>
  <w:style w:type="paragraph" w:customStyle="1" w:styleId="ECHRTitleCentre3">
    <w:name w:val="ECHR_Title_Centre_3"/>
    <w:aliases w:val="Ju_H_Article"/>
    <w:basedOn w:val="Normal"/>
    <w:next w:val="ECHRParaQuote"/>
    <w:uiPriority w:val="27"/>
    <w:qFormat/>
    <w:rsid w:val="007F47C8"/>
    <w:pPr>
      <w:keepNext/>
      <w:keepLines/>
      <w:suppressAutoHyphens w:val="0"/>
      <w:spacing w:before="240" w:after="120"/>
      <w:jc w:val="center"/>
      <w:outlineLvl w:val="3"/>
    </w:pPr>
    <w:rPr>
      <w:b/>
      <w:sz w:val="20"/>
      <w:lang w:eastAsia="en-GB" w:bidi="en-US"/>
    </w:rPr>
  </w:style>
  <w:style w:type="paragraph" w:customStyle="1" w:styleId="JuHi1">
    <w:name w:val="Ju_H_i1"/>
    <w:basedOn w:val="ECHRHeading4"/>
    <w:next w:val="JuPara"/>
    <w:rsid w:val="00CB3CDE"/>
    <w:pPr>
      <w:tabs>
        <w:tab w:val="clear" w:pos="975"/>
        <w:tab w:val="left" w:pos="1191"/>
      </w:tabs>
      <w:ind w:left="1190" w:hanging="357"/>
      <w:outlineLvl w:val="5"/>
    </w:pPr>
    <w:rPr>
      <w:b w:val="0"/>
      <w:i/>
    </w:rPr>
  </w:style>
  <w:style w:type="paragraph" w:customStyle="1" w:styleId="JuInitialled">
    <w:name w:val="Ju_Initialled"/>
    <w:basedOn w:val="Normal"/>
    <w:qFormat/>
    <w:rsid w:val="007F47C8"/>
    <w:pPr>
      <w:tabs>
        <w:tab w:val="center" w:pos="6407"/>
      </w:tabs>
      <w:suppressAutoHyphens w:val="0"/>
      <w:spacing w:before="720"/>
      <w:jc w:val="right"/>
    </w:pPr>
    <w:rPr>
      <w:lang w:eastAsia="en-GB"/>
    </w:rPr>
  </w:style>
  <w:style w:type="paragraph" w:customStyle="1" w:styleId="JuParaSub">
    <w:name w:val="Ju_Para_Sub"/>
    <w:basedOn w:val="JuPara"/>
    <w:uiPriority w:val="13"/>
    <w:qFormat/>
    <w:rsid w:val="007F47C8"/>
    <w:pPr>
      <w:ind w:left="284"/>
    </w:pPr>
  </w:style>
  <w:style w:type="paragraph" w:customStyle="1" w:styleId="JuQuotSub">
    <w:name w:val="Ju_Quot_Sub"/>
    <w:basedOn w:val="ECHRParaQuote"/>
    <w:uiPriority w:val="15"/>
    <w:qFormat/>
    <w:rsid w:val="007F47C8"/>
    <w:pPr>
      <w:ind w:left="567"/>
    </w:pPr>
  </w:style>
  <w:style w:type="paragraph" w:customStyle="1" w:styleId="JuTitle">
    <w:name w:val="Ju_Title"/>
    <w:basedOn w:val="ECHRTitle1"/>
    <w:next w:val="JuPara"/>
    <w:rsid w:val="00D056C3"/>
    <w:pPr>
      <w:jc w:val="center"/>
    </w:pPr>
    <w:rPr>
      <w:b/>
      <w:caps/>
      <w:sz w:val="24"/>
      <w:szCs w:val="24"/>
      <w:u w:val="single"/>
    </w:rPr>
  </w:style>
  <w:style w:type="paragraph" w:customStyle="1" w:styleId="OpiH1">
    <w:name w:val="Opi_H_1."/>
    <w:basedOn w:val="OpiHA"/>
    <w:next w:val="OpiPara"/>
    <w:rsid w:val="00CB3CDE"/>
    <w:pPr>
      <w:spacing w:before="240" w:after="120"/>
      <w:ind w:left="635"/>
      <w:outlineLvl w:val="2"/>
    </w:pPr>
    <w:rPr>
      <w:b w:val="0"/>
      <w:i/>
    </w:rPr>
  </w:style>
  <w:style w:type="paragraph" w:customStyle="1" w:styleId="OpiHa0">
    <w:name w:val="Opi_H_a"/>
    <w:basedOn w:val="ECHRHeading3"/>
    <w:uiPriority w:val="43"/>
    <w:qFormat/>
    <w:rsid w:val="007F47C8"/>
    <w:pPr>
      <w:ind w:left="833" w:hanging="357"/>
      <w:outlineLvl w:val="3"/>
    </w:pPr>
    <w:rPr>
      <w:b/>
      <w:i w:val="0"/>
      <w:sz w:val="20"/>
    </w:rPr>
  </w:style>
  <w:style w:type="paragraph" w:customStyle="1" w:styleId="OpiHA">
    <w:name w:val="Opi_H_A"/>
    <w:basedOn w:val="ECHRHeading1"/>
    <w:next w:val="OpiPara"/>
    <w:uiPriority w:val="41"/>
    <w:qFormat/>
    <w:rsid w:val="007F47C8"/>
    <w:pPr>
      <w:tabs>
        <w:tab w:val="clear" w:pos="357"/>
      </w:tabs>
    </w:pPr>
    <w:rPr>
      <w:b/>
      <w:bCs w:val="0"/>
    </w:rPr>
  </w:style>
  <w:style w:type="paragraph" w:customStyle="1" w:styleId="ECHRTitleCentre1">
    <w:name w:val="ECHR_Title_Centre_1"/>
    <w:aliases w:val="Opi_H_Head"/>
    <w:basedOn w:val="Normal"/>
    <w:next w:val="OpiPara"/>
    <w:uiPriority w:val="39"/>
    <w:qFormat/>
    <w:rsid w:val="007F47C8"/>
    <w:pPr>
      <w:keepNext/>
      <w:keepLines/>
      <w:suppressAutoHyphens w:val="0"/>
      <w:spacing w:after="240"/>
      <w:jc w:val="center"/>
      <w:outlineLvl w:val="0"/>
    </w:pPr>
    <w:rPr>
      <w:sz w:val="28"/>
      <w:lang w:eastAsia="en-GB"/>
    </w:rPr>
  </w:style>
  <w:style w:type="paragraph" w:customStyle="1" w:styleId="OpiHi">
    <w:name w:val="Opi_H_i"/>
    <w:basedOn w:val="ECHRHeading4"/>
    <w:uiPriority w:val="44"/>
    <w:qFormat/>
    <w:rsid w:val="007F47C8"/>
    <w:pPr>
      <w:ind w:left="1037" w:hanging="357"/>
      <w:outlineLvl w:val="4"/>
    </w:pPr>
    <w:rPr>
      <w:b w:val="0"/>
      <w:i/>
    </w:rPr>
  </w:style>
  <w:style w:type="paragraph" w:customStyle="1" w:styleId="OpiPara">
    <w:name w:val="Opi_Para"/>
    <w:basedOn w:val="JuPara"/>
    <w:uiPriority w:val="46"/>
    <w:qFormat/>
    <w:rsid w:val="007F47C8"/>
  </w:style>
  <w:style w:type="paragraph" w:customStyle="1" w:styleId="OpiParaSub">
    <w:name w:val="Opi_Para_Sub"/>
    <w:basedOn w:val="JuParaSub"/>
    <w:uiPriority w:val="47"/>
    <w:qFormat/>
    <w:rsid w:val="007F47C8"/>
  </w:style>
  <w:style w:type="paragraph" w:customStyle="1" w:styleId="OpiQuot">
    <w:name w:val="Opi_Quot"/>
    <w:basedOn w:val="ECHRParaQuote"/>
    <w:uiPriority w:val="48"/>
    <w:qFormat/>
    <w:rsid w:val="007F47C8"/>
  </w:style>
  <w:style w:type="paragraph" w:customStyle="1" w:styleId="OpiQuotSub">
    <w:name w:val="Opi_Quot_Sub"/>
    <w:basedOn w:val="JuQuotSub"/>
    <w:uiPriority w:val="49"/>
    <w:qFormat/>
    <w:rsid w:val="007F47C8"/>
  </w:style>
  <w:style w:type="paragraph" w:customStyle="1" w:styleId="OpiTranslation">
    <w:name w:val="Opi_Translation"/>
    <w:basedOn w:val="Normal"/>
    <w:next w:val="OpiPara"/>
    <w:uiPriority w:val="40"/>
    <w:qFormat/>
    <w:rsid w:val="007F47C8"/>
    <w:pPr>
      <w:suppressAutoHyphens w:val="0"/>
      <w:jc w:val="center"/>
      <w:outlineLvl w:val="0"/>
    </w:pPr>
    <w:rPr>
      <w:i/>
      <w:lang w:eastAsia="en-GB"/>
    </w:rPr>
  </w:style>
  <w:style w:type="numbering" w:styleId="111111">
    <w:name w:val="Outline List 2"/>
    <w:basedOn w:val="Aucuneliste"/>
    <w:semiHidden/>
    <w:rsid w:val="00CB3CDE"/>
    <w:pPr>
      <w:numPr>
        <w:numId w:val="9"/>
      </w:numPr>
    </w:pPr>
  </w:style>
  <w:style w:type="numbering" w:styleId="1ai">
    <w:name w:val="Outline List 1"/>
    <w:basedOn w:val="Aucuneliste"/>
    <w:semiHidden/>
    <w:rsid w:val="00CB3CDE"/>
    <w:pPr>
      <w:numPr>
        <w:numId w:val="11"/>
      </w:numPr>
    </w:pPr>
  </w:style>
  <w:style w:type="numbering" w:styleId="ArticleSection">
    <w:name w:val="Outline List 3"/>
    <w:basedOn w:val="Aucuneliste"/>
    <w:semiHidden/>
    <w:rsid w:val="00CB3CDE"/>
    <w:pPr>
      <w:numPr>
        <w:numId w:val="14"/>
      </w:numPr>
    </w:pPr>
  </w:style>
  <w:style w:type="paragraph" w:styleId="Normalcentr">
    <w:name w:val="Block Text"/>
    <w:basedOn w:val="Normal"/>
    <w:semiHidden/>
    <w:rsid w:val="00CB3CDE"/>
    <w:pPr>
      <w:spacing w:after="120"/>
      <w:ind w:left="1440" w:right="1440"/>
    </w:pPr>
  </w:style>
  <w:style w:type="paragraph" w:styleId="Corpsdetexte">
    <w:name w:val="Body Text"/>
    <w:basedOn w:val="Normal"/>
    <w:link w:val="CorpsdetexteCar"/>
    <w:semiHidden/>
    <w:rsid w:val="00CB3CDE"/>
    <w:pPr>
      <w:spacing w:after="120"/>
    </w:pPr>
  </w:style>
  <w:style w:type="character" w:customStyle="1" w:styleId="CorpsdetexteCar">
    <w:name w:val="Corps de texte Car"/>
    <w:link w:val="Corpsdetexte"/>
    <w:rsid w:val="00CB3CDE"/>
    <w:rPr>
      <w:sz w:val="24"/>
      <w:lang w:val="en-GB" w:eastAsia="fr-FR"/>
    </w:rPr>
  </w:style>
  <w:style w:type="paragraph" w:styleId="Corpsdetexte2">
    <w:name w:val="Body Text 2"/>
    <w:basedOn w:val="Normal"/>
    <w:link w:val="Corpsdetexte2Car"/>
    <w:semiHidden/>
    <w:rsid w:val="00CB3CDE"/>
    <w:pPr>
      <w:spacing w:after="120" w:line="480" w:lineRule="auto"/>
    </w:pPr>
  </w:style>
  <w:style w:type="character" w:customStyle="1" w:styleId="Corpsdetexte2Car">
    <w:name w:val="Corps de texte 2 Car"/>
    <w:link w:val="Corpsdetexte2"/>
    <w:rsid w:val="00CB3CDE"/>
    <w:rPr>
      <w:sz w:val="24"/>
      <w:lang w:val="en-GB" w:eastAsia="fr-FR"/>
    </w:rPr>
  </w:style>
  <w:style w:type="paragraph" w:styleId="Corpsdetexte3">
    <w:name w:val="Body Text 3"/>
    <w:basedOn w:val="Normal"/>
    <w:link w:val="Corpsdetexte3Car"/>
    <w:semiHidden/>
    <w:rsid w:val="00CB3CDE"/>
    <w:pPr>
      <w:spacing w:after="120"/>
    </w:pPr>
    <w:rPr>
      <w:sz w:val="16"/>
      <w:szCs w:val="16"/>
    </w:rPr>
  </w:style>
  <w:style w:type="character" w:customStyle="1" w:styleId="Corpsdetexte3Car">
    <w:name w:val="Corps de texte 3 Car"/>
    <w:link w:val="Corpsdetexte3"/>
    <w:rsid w:val="00CB3CDE"/>
    <w:rPr>
      <w:sz w:val="16"/>
      <w:szCs w:val="16"/>
      <w:lang w:val="en-GB" w:eastAsia="fr-FR"/>
    </w:rPr>
  </w:style>
  <w:style w:type="paragraph" w:styleId="Retrait1religne">
    <w:name w:val="Body Text First Indent"/>
    <w:basedOn w:val="Corpsdetexte"/>
    <w:link w:val="Retrait1religneCar"/>
    <w:semiHidden/>
    <w:rsid w:val="00CB3CDE"/>
    <w:pPr>
      <w:ind w:firstLine="210"/>
    </w:pPr>
  </w:style>
  <w:style w:type="character" w:customStyle="1" w:styleId="Retrait1religneCar">
    <w:name w:val="Retrait 1ère ligne Car"/>
    <w:basedOn w:val="CorpsdetexteCar"/>
    <w:link w:val="Retrait1religne"/>
    <w:rsid w:val="00CB3CDE"/>
    <w:rPr>
      <w:sz w:val="24"/>
      <w:lang w:val="en-GB" w:eastAsia="fr-FR"/>
    </w:rPr>
  </w:style>
  <w:style w:type="paragraph" w:styleId="Retraitcorpsdetexte">
    <w:name w:val="Body Text Indent"/>
    <w:basedOn w:val="Normal"/>
    <w:link w:val="RetraitcorpsdetexteCar"/>
    <w:semiHidden/>
    <w:rsid w:val="00CB3CDE"/>
    <w:pPr>
      <w:spacing w:after="120"/>
      <w:ind w:left="283"/>
    </w:pPr>
  </w:style>
  <w:style w:type="character" w:customStyle="1" w:styleId="RetraitcorpsdetexteCar">
    <w:name w:val="Retrait corps de texte Car"/>
    <w:link w:val="Retraitcorpsdetexte"/>
    <w:rsid w:val="00CB3CDE"/>
    <w:rPr>
      <w:sz w:val="24"/>
      <w:lang w:val="en-GB" w:eastAsia="fr-FR"/>
    </w:rPr>
  </w:style>
  <w:style w:type="paragraph" w:styleId="Retraitcorpset1relig">
    <w:name w:val="Body Text First Indent 2"/>
    <w:basedOn w:val="Retraitcorpsdetexte"/>
    <w:link w:val="Retraitcorpset1religCar"/>
    <w:semiHidden/>
    <w:rsid w:val="00CB3CDE"/>
    <w:pPr>
      <w:ind w:firstLine="210"/>
    </w:pPr>
  </w:style>
  <w:style w:type="character" w:customStyle="1" w:styleId="Retraitcorpset1religCar">
    <w:name w:val="Retrait corps et 1ère lig. Car"/>
    <w:basedOn w:val="RetraitcorpsdetexteCar"/>
    <w:link w:val="Retraitcorpset1relig"/>
    <w:rsid w:val="00CB3CDE"/>
    <w:rPr>
      <w:sz w:val="24"/>
      <w:lang w:val="en-GB" w:eastAsia="fr-FR"/>
    </w:rPr>
  </w:style>
  <w:style w:type="paragraph" w:styleId="Retraitcorpsdetexte2">
    <w:name w:val="Body Text Indent 2"/>
    <w:basedOn w:val="Normal"/>
    <w:link w:val="Retraitcorpsdetexte2Car"/>
    <w:semiHidden/>
    <w:rsid w:val="00CB3CDE"/>
    <w:pPr>
      <w:spacing w:after="120" w:line="480" w:lineRule="auto"/>
      <w:ind w:left="283"/>
    </w:pPr>
  </w:style>
  <w:style w:type="character" w:customStyle="1" w:styleId="Retraitcorpsdetexte2Car">
    <w:name w:val="Retrait corps de texte 2 Car"/>
    <w:link w:val="Retraitcorpsdetexte2"/>
    <w:rsid w:val="00CB3CDE"/>
    <w:rPr>
      <w:sz w:val="24"/>
      <w:lang w:val="en-GB" w:eastAsia="fr-FR"/>
    </w:rPr>
  </w:style>
  <w:style w:type="paragraph" w:styleId="Retraitcorpsdetexte3">
    <w:name w:val="Body Text Indent 3"/>
    <w:basedOn w:val="Normal"/>
    <w:link w:val="Retraitcorpsdetexte3Car"/>
    <w:semiHidden/>
    <w:rsid w:val="00CB3CDE"/>
    <w:pPr>
      <w:spacing w:after="120"/>
      <w:ind w:left="283"/>
    </w:pPr>
    <w:rPr>
      <w:sz w:val="16"/>
      <w:szCs w:val="16"/>
    </w:rPr>
  </w:style>
  <w:style w:type="character" w:customStyle="1" w:styleId="Retraitcorpsdetexte3Car">
    <w:name w:val="Retrait corps de texte 3 Car"/>
    <w:link w:val="Retraitcorpsdetexte3"/>
    <w:rsid w:val="00CB3CDE"/>
    <w:rPr>
      <w:sz w:val="16"/>
      <w:szCs w:val="16"/>
      <w:lang w:val="en-GB" w:eastAsia="fr-FR"/>
    </w:rPr>
  </w:style>
  <w:style w:type="paragraph" w:styleId="Lgende">
    <w:name w:val="caption"/>
    <w:basedOn w:val="Normal"/>
    <w:next w:val="Normal"/>
    <w:uiPriority w:val="99"/>
    <w:semiHidden/>
    <w:qFormat/>
    <w:rsid w:val="00CB3CDE"/>
    <w:pPr>
      <w:suppressAutoHyphens w:val="0"/>
      <w:spacing w:after="200"/>
      <w:jc w:val="both"/>
    </w:pPr>
    <w:rPr>
      <w:b/>
      <w:bCs/>
      <w:color w:val="0072BC"/>
      <w:sz w:val="18"/>
      <w:szCs w:val="18"/>
      <w:lang w:eastAsia="en-GB"/>
    </w:rPr>
  </w:style>
  <w:style w:type="paragraph" w:styleId="Formulepolitesse">
    <w:name w:val="Closing"/>
    <w:basedOn w:val="Normal"/>
    <w:link w:val="FormulepolitesseCar"/>
    <w:semiHidden/>
    <w:rsid w:val="00CB3CDE"/>
    <w:pPr>
      <w:ind w:left="4252"/>
    </w:pPr>
  </w:style>
  <w:style w:type="character" w:customStyle="1" w:styleId="FormulepolitesseCar">
    <w:name w:val="Formule politesse Car"/>
    <w:link w:val="Formulepolitesse"/>
    <w:rsid w:val="00CB3CDE"/>
    <w:rPr>
      <w:sz w:val="24"/>
      <w:lang w:val="en-GB" w:eastAsia="fr-FR"/>
    </w:rPr>
  </w:style>
  <w:style w:type="paragraph" w:styleId="Date">
    <w:name w:val="Date"/>
    <w:basedOn w:val="Normal"/>
    <w:next w:val="Normal"/>
    <w:link w:val="DateCar"/>
    <w:semiHidden/>
    <w:rsid w:val="00CB3CDE"/>
  </w:style>
  <w:style w:type="character" w:customStyle="1" w:styleId="DateCar">
    <w:name w:val="Date Car"/>
    <w:link w:val="Date"/>
    <w:rsid w:val="00CB3CDE"/>
    <w:rPr>
      <w:sz w:val="24"/>
      <w:lang w:val="en-GB" w:eastAsia="fr-FR"/>
    </w:rPr>
  </w:style>
  <w:style w:type="table" w:styleId="Grille">
    <w:name w:val="Table Grid"/>
    <w:basedOn w:val="TableauNormal"/>
    <w:semiHidden/>
    <w:rsid w:val="00CB3CD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CHRHeaderTable">
    <w:name w:val="ECHR_Header_Table"/>
    <w:basedOn w:val="Grille"/>
    <w:rsid w:val="00CB3CDE"/>
    <w:pPr>
      <w:suppressAutoHyphens w:val="0"/>
    </w:pPr>
    <w:rPr>
      <w:rFonts w:ascii="Verdana" w:hAnsi="Verdana"/>
    </w:rPr>
    <w:tblPr>
      <w:tblInd w:w="-624" w:type="dxa"/>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top w:w="0" w:type="dxa"/>
        <w:left w:w="0" w:type="dxa"/>
        <w:bottom w:w="28" w:type="dxa"/>
        <w:right w:w="0" w:type="dxa"/>
      </w:tblCellMar>
    </w:tblPr>
    <w:tcPr>
      <w:noWrap/>
      <w:vAlign w:val="bottom"/>
    </w:tcPr>
  </w:style>
  <w:style w:type="paragraph" w:styleId="Signaturelectronique">
    <w:name w:val="E-mail Signature"/>
    <w:basedOn w:val="Normal"/>
    <w:link w:val="SignaturelectroniqueCar"/>
    <w:semiHidden/>
    <w:rsid w:val="00CB3CDE"/>
  </w:style>
  <w:style w:type="character" w:customStyle="1" w:styleId="SignaturelectroniqueCar">
    <w:name w:val="Signature électronique Car"/>
    <w:link w:val="Signaturelectronique"/>
    <w:rsid w:val="00CB3CDE"/>
    <w:rPr>
      <w:sz w:val="24"/>
      <w:lang w:val="en-GB" w:eastAsia="fr-FR"/>
    </w:rPr>
  </w:style>
  <w:style w:type="character" w:styleId="Accentuation">
    <w:name w:val="Emphasis"/>
    <w:uiPriority w:val="99"/>
    <w:semiHidden/>
    <w:qFormat/>
    <w:rsid w:val="007F47C8"/>
    <w:rPr>
      <w:b/>
      <w:bCs/>
      <w:i/>
      <w:iCs/>
      <w:spacing w:val="10"/>
      <w:bdr w:val="none" w:sz="0" w:space="0" w:color="auto"/>
      <w:shd w:val="clear" w:color="auto" w:fill="auto"/>
    </w:rPr>
  </w:style>
  <w:style w:type="paragraph" w:styleId="Adressedestinataire">
    <w:name w:val="envelope address"/>
    <w:basedOn w:val="Normal"/>
    <w:semiHidden/>
    <w:rsid w:val="00CB3CDE"/>
    <w:pPr>
      <w:framePr w:w="7920" w:h="1980" w:hRule="exact" w:hSpace="180" w:wrap="auto" w:hAnchor="page" w:xAlign="center" w:yAlign="bottom"/>
      <w:ind w:left="2880"/>
    </w:pPr>
    <w:rPr>
      <w:rFonts w:ascii="Arial" w:hAnsi="Arial" w:cs="Arial"/>
      <w:szCs w:val="24"/>
    </w:rPr>
  </w:style>
  <w:style w:type="paragraph" w:styleId="Adresseexpditeur">
    <w:name w:val="envelope return"/>
    <w:basedOn w:val="Normal"/>
    <w:semiHidden/>
    <w:rsid w:val="00CB3CDE"/>
    <w:rPr>
      <w:rFonts w:ascii="Arial" w:hAnsi="Arial" w:cs="Arial"/>
      <w:sz w:val="20"/>
    </w:rPr>
  </w:style>
  <w:style w:type="character" w:styleId="AcronymeHTML">
    <w:name w:val="HTML Acronym"/>
    <w:semiHidden/>
    <w:rsid w:val="00CB3CDE"/>
  </w:style>
  <w:style w:type="paragraph" w:styleId="AdresseHTML">
    <w:name w:val="HTML Address"/>
    <w:basedOn w:val="Normal"/>
    <w:link w:val="AdresseHTMLCar"/>
    <w:semiHidden/>
    <w:rsid w:val="00CB3CDE"/>
    <w:rPr>
      <w:i/>
      <w:iCs/>
    </w:rPr>
  </w:style>
  <w:style w:type="character" w:customStyle="1" w:styleId="AdresseHTMLCar">
    <w:name w:val="Adresse HTML Car"/>
    <w:link w:val="AdresseHTML"/>
    <w:rsid w:val="00CB3CDE"/>
    <w:rPr>
      <w:i/>
      <w:iCs/>
      <w:sz w:val="24"/>
      <w:lang w:val="en-GB" w:eastAsia="fr-FR"/>
    </w:rPr>
  </w:style>
  <w:style w:type="character" w:styleId="SiteHTML">
    <w:name w:val="HTML Cite"/>
    <w:semiHidden/>
    <w:rsid w:val="00CB3CDE"/>
    <w:rPr>
      <w:i/>
      <w:iCs/>
    </w:rPr>
  </w:style>
  <w:style w:type="character" w:styleId="CodeHTML">
    <w:name w:val="HTML Code"/>
    <w:semiHidden/>
    <w:rsid w:val="00CB3CDE"/>
    <w:rPr>
      <w:rFonts w:ascii="Courier New" w:hAnsi="Courier New" w:cs="Courier New"/>
      <w:sz w:val="20"/>
      <w:szCs w:val="20"/>
    </w:rPr>
  </w:style>
  <w:style w:type="character" w:styleId="DfinitionHTML">
    <w:name w:val="HTML Definition"/>
    <w:semiHidden/>
    <w:rsid w:val="00CB3CDE"/>
    <w:rPr>
      <w:i/>
      <w:iCs/>
    </w:rPr>
  </w:style>
  <w:style w:type="character" w:styleId="ClavierHTML">
    <w:name w:val="HTML Keyboard"/>
    <w:semiHidden/>
    <w:rsid w:val="00CB3CDE"/>
    <w:rPr>
      <w:rFonts w:ascii="Courier New" w:hAnsi="Courier New" w:cs="Courier New"/>
      <w:sz w:val="20"/>
      <w:szCs w:val="20"/>
    </w:rPr>
  </w:style>
  <w:style w:type="paragraph" w:styleId="HTMLprformat">
    <w:name w:val="HTML Preformatted"/>
    <w:basedOn w:val="Normal"/>
    <w:link w:val="HTMLprformatCar"/>
    <w:semiHidden/>
    <w:rsid w:val="00CB3CDE"/>
    <w:rPr>
      <w:rFonts w:ascii="Courier New" w:hAnsi="Courier New" w:cs="Courier New"/>
      <w:sz w:val="20"/>
    </w:rPr>
  </w:style>
  <w:style w:type="character" w:customStyle="1" w:styleId="HTMLprformatCar">
    <w:name w:val="HTML préformaté Car"/>
    <w:link w:val="HTMLprformat"/>
    <w:rsid w:val="00CB3CDE"/>
    <w:rPr>
      <w:rFonts w:ascii="Courier New" w:hAnsi="Courier New" w:cs="Courier New"/>
      <w:lang w:val="en-GB" w:eastAsia="fr-FR"/>
    </w:rPr>
  </w:style>
  <w:style w:type="character" w:styleId="ExempleHTML">
    <w:name w:val="HTML Sample"/>
    <w:semiHidden/>
    <w:rsid w:val="00CB3CDE"/>
    <w:rPr>
      <w:rFonts w:ascii="Courier New" w:hAnsi="Courier New" w:cs="Courier New"/>
    </w:rPr>
  </w:style>
  <w:style w:type="character" w:styleId="MachinecrireHTML">
    <w:name w:val="HTML Typewriter"/>
    <w:semiHidden/>
    <w:rsid w:val="00CB3CDE"/>
    <w:rPr>
      <w:rFonts w:ascii="Courier New" w:hAnsi="Courier New" w:cs="Courier New"/>
      <w:sz w:val="20"/>
      <w:szCs w:val="20"/>
    </w:rPr>
  </w:style>
  <w:style w:type="character" w:styleId="VariableHTML">
    <w:name w:val="HTML Variable"/>
    <w:semiHidden/>
    <w:rsid w:val="00CB3CDE"/>
    <w:rPr>
      <w:i/>
      <w:iCs/>
    </w:rPr>
  </w:style>
  <w:style w:type="paragraph" w:styleId="Index1">
    <w:name w:val="index 1"/>
    <w:basedOn w:val="Normal"/>
    <w:next w:val="Normal"/>
    <w:autoRedefine/>
    <w:semiHidden/>
    <w:rsid w:val="00CB3CDE"/>
    <w:pPr>
      <w:ind w:left="240" w:hanging="240"/>
    </w:pPr>
  </w:style>
  <w:style w:type="paragraph" w:styleId="Index2">
    <w:name w:val="index 2"/>
    <w:basedOn w:val="Normal"/>
    <w:next w:val="Normal"/>
    <w:autoRedefine/>
    <w:semiHidden/>
    <w:rsid w:val="00CB3CDE"/>
    <w:pPr>
      <w:ind w:left="480" w:hanging="240"/>
    </w:pPr>
  </w:style>
  <w:style w:type="paragraph" w:styleId="Index3">
    <w:name w:val="index 3"/>
    <w:basedOn w:val="Normal"/>
    <w:next w:val="Normal"/>
    <w:autoRedefine/>
    <w:semiHidden/>
    <w:rsid w:val="00CB3CDE"/>
    <w:pPr>
      <w:ind w:left="720" w:hanging="240"/>
    </w:pPr>
  </w:style>
  <w:style w:type="paragraph" w:styleId="Index4">
    <w:name w:val="index 4"/>
    <w:basedOn w:val="Normal"/>
    <w:next w:val="Normal"/>
    <w:autoRedefine/>
    <w:semiHidden/>
    <w:rsid w:val="00CB3CDE"/>
    <w:pPr>
      <w:ind w:left="960" w:hanging="240"/>
    </w:pPr>
  </w:style>
  <w:style w:type="paragraph" w:styleId="Index5">
    <w:name w:val="index 5"/>
    <w:basedOn w:val="Normal"/>
    <w:next w:val="Normal"/>
    <w:autoRedefine/>
    <w:semiHidden/>
    <w:rsid w:val="00CB3CDE"/>
    <w:pPr>
      <w:ind w:left="1200" w:hanging="240"/>
    </w:pPr>
  </w:style>
  <w:style w:type="paragraph" w:styleId="Index6">
    <w:name w:val="index 6"/>
    <w:basedOn w:val="Normal"/>
    <w:next w:val="Normal"/>
    <w:autoRedefine/>
    <w:semiHidden/>
    <w:rsid w:val="00CB3CDE"/>
    <w:pPr>
      <w:ind w:left="1440" w:hanging="240"/>
    </w:pPr>
  </w:style>
  <w:style w:type="paragraph" w:styleId="Index7">
    <w:name w:val="index 7"/>
    <w:basedOn w:val="Normal"/>
    <w:next w:val="Normal"/>
    <w:autoRedefine/>
    <w:semiHidden/>
    <w:rsid w:val="00CB3CDE"/>
    <w:pPr>
      <w:ind w:left="1680" w:hanging="240"/>
    </w:pPr>
  </w:style>
  <w:style w:type="paragraph" w:styleId="Index8">
    <w:name w:val="index 8"/>
    <w:basedOn w:val="Normal"/>
    <w:next w:val="Normal"/>
    <w:autoRedefine/>
    <w:semiHidden/>
    <w:rsid w:val="00CB3CDE"/>
    <w:pPr>
      <w:ind w:left="1920" w:hanging="240"/>
    </w:pPr>
  </w:style>
  <w:style w:type="paragraph" w:styleId="Index9">
    <w:name w:val="index 9"/>
    <w:basedOn w:val="Normal"/>
    <w:next w:val="Normal"/>
    <w:autoRedefine/>
    <w:semiHidden/>
    <w:rsid w:val="00CB3CDE"/>
    <w:pPr>
      <w:ind w:left="2160" w:hanging="240"/>
    </w:pPr>
  </w:style>
  <w:style w:type="paragraph" w:styleId="Titreindex">
    <w:name w:val="index heading"/>
    <w:basedOn w:val="Normal"/>
    <w:next w:val="Index1"/>
    <w:semiHidden/>
    <w:rsid w:val="00CB3CDE"/>
    <w:rPr>
      <w:rFonts w:ascii="Arial" w:hAnsi="Arial" w:cs="Arial"/>
      <w:b/>
      <w:bCs/>
    </w:rPr>
  </w:style>
  <w:style w:type="character" w:styleId="Numrodeligne">
    <w:name w:val="line number"/>
    <w:semiHidden/>
    <w:rsid w:val="00CB3CDE"/>
  </w:style>
  <w:style w:type="paragraph" w:styleId="Liste">
    <w:name w:val="List"/>
    <w:basedOn w:val="Normal"/>
    <w:semiHidden/>
    <w:rsid w:val="00CB3CDE"/>
    <w:pPr>
      <w:ind w:left="283" w:hanging="283"/>
    </w:pPr>
  </w:style>
  <w:style w:type="paragraph" w:styleId="Liste2">
    <w:name w:val="List 2"/>
    <w:basedOn w:val="Normal"/>
    <w:semiHidden/>
    <w:rsid w:val="00CB3CDE"/>
    <w:pPr>
      <w:ind w:left="566" w:hanging="283"/>
    </w:pPr>
  </w:style>
  <w:style w:type="paragraph" w:styleId="Liste3">
    <w:name w:val="List 3"/>
    <w:basedOn w:val="Normal"/>
    <w:semiHidden/>
    <w:rsid w:val="00CB3CDE"/>
    <w:pPr>
      <w:ind w:left="849" w:hanging="283"/>
    </w:pPr>
  </w:style>
  <w:style w:type="paragraph" w:styleId="Liste4">
    <w:name w:val="List 4"/>
    <w:basedOn w:val="Normal"/>
    <w:semiHidden/>
    <w:rsid w:val="00CB3CDE"/>
    <w:pPr>
      <w:ind w:left="1132" w:hanging="283"/>
    </w:pPr>
  </w:style>
  <w:style w:type="paragraph" w:styleId="Liste5">
    <w:name w:val="List 5"/>
    <w:basedOn w:val="Normal"/>
    <w:semiHidden/>
    <w:rsid w:val="00CB3CDE"/>
    <w:pPr>
      <w:ind w:left="1415" w:hanging="283"/>
    </w:pPr>
  </w:style>
  <w:style w:type="paragraph" w:styleId="Listepuces2">
    <w:name w:val="List Bullet 2"/>
    <w:basedOn w:val="Normal"/>
    <w:semiHidden/>
    <w:rsid w:val="00CB3CDE"/>
    <w:pPr>
      <w:numPr>
        <w:numId w:val="27"/>
      </w:numPr>
    </w:pPr>
  </w:style>
  <w:style w:type="paragraph" w:styleId="Listepuces3">
    <w:name w:val="List Bullet 3"/>
    <w:basedOn w:val="Normal"/>
    <w:semiHidden/>
    <w:rsid w:val="00CB3CDE"/>
    <w:pPr>
      <w:numPr>
        <w:numId w:val="29"/>
      </w:numPr>
    </w:pPr>
  </w:style>
  <w:style w:type="paragraph" w:styleId="Listepuces4">
    <w:name w:val="List Bullet 4"/>
    <w:basedOn w:val="Normal"/>
    <w:semiHidden/>
    <w:rsid w:val="00CB3CDE"/>
    <w:pPr>
      <w:numPr>
        <w:numId w:val="31"/>
      </w:numPr>
    </w:pPr>
  </w:style>
  <w:style w:type="paragraph" w:styleId="Listepuces5">
    <w:name w:val="List Bullet 5"/>
    <w:basedOn w:val="Normal"/>
    <w:semiHidden/>
    <w:rsid w:val="00CB3CDE"/>
    <w:pPr>
      <w:numPr>
        <w:numId w:val="33"/>
      </w:numPr>
    </w:pPr>
  </w:style>
  <w:style w:type="paragraph" w:styleId="Listecontinue">
    <w:name w:val="List Continue"/>
    <w:basedOn w:val="Normal"/>
    <w:semiHidden/>
    <w:rsid w:val="00CB3CDE"/>
    <w:pPr>
      <w:spacing w:after="120"/>
      <w:ind w:left="283"/>
    </w:pPr>
  </w:style>
  <w:style w:type="paragraph" w:styleId="Listecontinue2">
    <w:name w:val="List Continue 2"/>
    <w:basedOn w:val="Normal"/>
    <w:semiHidden/>
    <w:rsid w:val="00CB3CDE"/>
    <w:pPr>
      <w:spacing w:after="120"/>
      <w:ind w:left="566"/>
    </w:pPr>
  </w:style>
  <w:style w:type="paragraph" w:styleId="Listecontinue3">
    <w:name w:val="List Continue 3"/>
    <w:basedOn w:val="Normal"/>
    <w:semiHidden/>
    <w:rsid w:val="00CB3CDE"/>
    <w:pPr>
      <w:spacing w:after="120"/>
      <w:ind w:left="849"/>
    </w:pPr>
  </w:style>
  <w:style w:type="paragraph" w:styleId="Listecontinue4">
    <w:name w:val="List Continue 4"/>
    <w:basedOn w:val="Normal"/>
    <w:semiHidden/>
    <w:rsid w:val="00CB3CDE"/>
    <w:pPr>
      <w:spacing w:after="120"/>
      <w:ind w:left="1132"/>
    </w:pPr>
  </w:style>
  <w:style w:type="paragraph" w:styleId="Listecontinue5">
    <w:name w:val="List Continue 5"/>
    <w:basedOn w:val="Normal"/>
    <w:semiHidden/>
    <w:rsid w:val="00CB3CDE"/>
    <w:pPr>
      <w:spacing w:after="120"/>
      <w:ind w:left="1415"/>
    </w:pPr>
  </w:style>
  <w:style w:type="paragraph" w:styleId="Listenumros">
    <w:name w:val="List Number"/>
    <w:basedOn w:val="Normal"/>
    <w:semiHidden/>
    <w:rsid w:val="00CB3CDE"/>
    <w:pPr>
      <w:numPr>
        <w:numId w:val="35"/>
      </w:numPr>
    </w:pPr>
  </w:style>
  <w:style w:type="paragraph" w:styleId="Listenumros2">
    <w:name w:val="List Number 2"/>
    <w:basedOn w:val="Normal"/>
    <w:semiHidden/>
    <w:rsid w:val="00CB3CDE"/>
    <w:pPr>
      <w:numPr>
        <w:numId w:val="37"/>
      </w:numPr>
    </w:pPr>
  </w:style>
  <w:style w:type="paragraph" w:styleId="Listenumros3">
    <w:name w:val="List Number 3"/>
    <w:basedOn w:val="Normal"/>
    <w:semiHidden/>
    <w:rsid w:val="00CB3CDE"/>
    <w:pPr>
      <w:numPr>
        <w:numId w:val="39"/>
      </w:numPr>
    </w:pPr>
  </w:style>
  <w:style w:type="paragraph" w:styleId="Listenumros4">
    <w:name w:val="List Number 4"/>
    <w:basedOn w:val="Normal"/>
    <w:semiHidden/>
    <w:rsid w:val="00CB3CDE"/>
    <w:pPr>
      <w:numPr>
        <w:numId w:val="41"/>
      </w:numPr>
    </w:pPr>
  </w:style>
  <w:style w:type="paragraph" w:styleId="Listenumros5">
    <w:name w:val="List Number 5"/>
    <w:basedOn w:val="Normal"/>
    <w:semiHidden/>
    <w:rsid w:val="00CB3CDE"/>
    <w:pPr>
      <w:numPr>
        <w:numId w:val="43"/>
      </w:numPr>
    </w:pPr>
  </w:style>
  <w:style w:type="paragraph" w:styleId="Textedemacro">
    <w:name w:val="macro"/>
    <w:link w:val="TextedemacroCar"/>
    <w:semiHidden/>
    <w:rsid w:val="00CB3CDE"/>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2"/>
      <w:szCs w:val="22"/>
      <w:lang w:eastAsia="fr-FR"/>
    </w:rPr>
  </w:style>
  <w:style w:type="character" w:customStyle="1" w:styleId="TextedemacroCar">
    <w:name w:val="Texte de macro Car"/>
    <w:link w:val="Textedemacro"/>
    <w:rsid w:val="00CB3CDE"/>
    <w:rPr>
      <w:rFonts w:ascii="Courier New" w:hAnsi="Courier New" w:cs="Courier New"/>
      <w:lang w:val="en-GB" w:eastAsia="fr-FR"/>
    </w:rPr>
  </w:style>
  <w:style w:type="paragraph" w:styleId="En-ttedemessage">
    <w:name w:val="Message Header"/>
    <w:basedOn w:val="Normal"/>
    <w:link w:val="En-ttedemessageCar"/>
    <w:semiHidden/>
    <w:rsid w:val="00CB3C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En-ttedemessageCar">
    <w:name w:val="En-tête de message Car"/>
    <w:link w:val="En-ttedemessage"/>
    <w:rsid w:val="00CB3CDE"/>
    <w:rPr>
      <w:rFonts w:ascii="Arial" w:hAnsi="Arial" w:cs="Arial"/>
      <w:sz w:val="24"/>
      <w:szCs w:val="24"/>
      <w:shd w:val="pct20" w:color="auto" w:fill="auto"/>
      <w:lang w:val="en-GB" w:eastAsia="fr-FR"/>
    </w:rPr>
  </w:style>
  <w:style w:type="paragraph" w:styleId="NormalWeb">
    <w:name w:val="Normal (Web)"/>
    <w:basedOn w:val="Normal"/>
    <w:semiHidden/>
    <w:rsid w:val="00CB3CDE"/>
    <w:rPr>
      <w:szCs w:val="24"/>
    </w:rPr>
  </w:style>
  <w:style w:type="paragraph" w:styleId="Retraitnormal">
    <w:name w:val="Normal Indent"/>
    <w:basedOn w:val="Normal"/>
    <w:semiHidden/>
    <w:rsid w:val="00CB3CDE"/>
    <w:pPr>
      <w:ind w:left="720"/>
    </w:pPr>
  </w:style>
  <w:style w:type="paragraph" w:customStyle="1" w:styleId="NormalJustified">
    <w:name w:val="Normal_Justified"/>
    <w:basedOn w:val="NormalTimesNewRoman"/>
    <w:rsid w:val="00CB3CDE"/>
    <w:pPr>
      <w:jc w:val="both"/>
    </w:pPr>
  </w:style>
  <w:style w:type="paragraph" w:styleId="Titredenote">
    <w:name w:val="Note Heading"/>
    <w:basedOn w:val="Normal"/>
    <w:next w:val="Normal"/>
    <w:link w:val="TitredenoteCar"/>
    <w:semiHidden/>
    <w:rsid w:val="00CB3CDE"/>
  </w:style>
  <w:style w:type="character" w:customStyle="1" w:styleId="TitredenoteCar">
    <w:name w:val="Titre de note Car"/>
    <w:link w:val="Titredenote"/>
    <w:rsid w:val="00CB3CDE"/>
    <w:rPr>
      <w:sz w:val="24"/>
      <w:lang w:val="en-GB" w:eastAsia="fr-FR"/>
    </w:rPr>
  </w:style>
  <w:style w:type="paragraph" w:styleId="Textebrut">
    <w:name w:val="Plain Text"/>
    <w:basedOn w:val="Normal"/>
    <w:link w:val="TextebrutCar"/>
    <w:semiHidden/>
    <w:rsid w:val="00CB3CDE"/>
    <w:rPr>
      <w:rFonts w:ascii="Courier New" w:hAnsi="Courier New" w:cs="Courier New"/>
      <w:sz w:val="20"/>
    </w:rPr>
  </w:style>
  <w:style w:type="character" w:customStyle="1" w:styleId="TextebrutCar">
    <w:name w:val="Texte brut Car"/>
    <w:link w:val="Textebrut"/>
    <w:rsid w:val="00CB3CDE"/>
    <w:rPr>
      <w:rFonts w:ascii="Courier New" w:hAnsi="Courier New" w:cs="Courier New"/>
      <w:lang w:val="en-GB" w:eastAsia="fr-FR"/>
    </w:rPr>
  </w:style>
  <w:style w:type="paragraph" w:customStyle="1" w:styleId="PubJuPara">
    <w:name w:val="Pub_Ju_Para"/>
    <w:basedOn w:val="NormalTimesNewRoman"/>
    <w:rsid w:val="00CB3CDE"/>
    <w:pPr>
      <w:ind w:firstLine="284"/>
      <w:jc w:val="both"/>
    </w:pPr>
  </w:style>
  <w:style w:type="paragraph" w:customStyle="1" w:styleId="PubJuQuot">
    <w:name w:val="Pub_Ju_Quot"/>
    <w:basedOn w:val="NormalTimesNewRoman"/>
    <w:rsid w:val="00CB3CDE"/>
    <w:pPr>
      <w:spacing w:before="120" w:after="120"/>
      <w:ind w:left="403" w:firstLine="176"/>
      <w:jc w:val="both"/>
    </w:pPr>
    <w:rPr>
      <w:sz w:val="20"/>
    </w:rPr>
  </w:style>
  <w:style w:type="paragraph" w:customStyle="1" w:styleId="PubListArticleSubject">
    <w:name w:val="Pub_List_ArticleSubject"/>
    <w:basedOn w:val="NormalTimesNewRoman"/>
    <w:rsid w:val="00CB3CDE"/>
    <w:pPr>
      <w:tabs>
        <w:tab w:val="left" w:pos="2977"/>
      </w:tabs>
      <w:ind w:left="2977" w:hanging="2977"/>
    </w:pPr>
  </w:style>
  <w:style w:type="paragraph" w:customStyle="1" w:styleId="PubListCaseNo">
    <w:name w:val="Pub_List_CaseNo"/>
    <w:basedOn w:val="NormalTimesNewRoman"/>
    <w:rsid w:val="00CB3CDE"/>
    <w:pPr>
      <w:tabs>
        <w:tab w:val="left" w:pos="1276"/>
      </w:tabs>
      <w:spacing w:line="288" w:lineRule="auto"/>
      <w:ind w:left="1276" w:hanging="1276"/>
    </w:pPr>
  </w:style>
  <w:style w:type="paragraph" w:customStyle="1" w:styleId="PubListCases">
    <w:name w:val="Pub_List_Cases"/>
    <w:basedOn w:val="NormalTimesNewRoman"/>
    <w:rsid w:val="00CB3CDE"/>
    <w:pPr>
      <w:spacing w:line="288" w:lineRule="auto"/>
    </w:pPr>
  </w:style>
  <w:style w:type="paragraph" w:customStyle="1" w:styleId="PubTextIntro">
    <w:name w:val="Pub_Text_Intro"/>
    <w:basedOn w:val="NormalTimesNewRoman"/>
    <w:rsid w:val="00CB3CDE"/>
    <w:pPr>
      <w:jc w:val="both"/>
    </w:pPr>
    <w:rPr>
      <w:i/>
      <w:sz w:val="20"/>
    </w:rPr>
  </w:style>
  <w:style w:type="paragraph" w:customStyle="1" w:styleId="PubTitleCover">
    <w:name w:val="Pub_Title_Cover"/>
    <w:basedOn w:val="NormalTimesNewRoman"/>
    <w:rsid w:val="00CB3CDE"/>
    <w:pPr>
      <w:spacing w:before="2500"/>
      <w:jc w:val="center"/>
    </w:pPr>
    <w:rPr>
      <w:b/>
      <w:smallCaps/>
      <w:sz w:val="30"/>
    </w:rPr>
  </w:style>
  <w:style w:type="paragraph" w:customStyle="1" w:styleId="PubTitle1Alpha">
    <w:name w:val="Pub_Title1_Alpha"/>
    <w:basedOn w:val="NormalTimesNewRoman"/>
    <w:next w:val="Normal"/>
    <w:rsid w:val="00CB3CDE"/>
    <w:pPr>
      <w:spacing w:after="120"/>
      <w:jc w:val="center"/>
    </w:pPr>
    <w:rPr>
      <w:b/>
      <w:smallCaps/>
      <w:sz w:val="30"/>
    </w:rPr>
  </w:style>
  <w:style w:type="paragraph" w:customStyle="1" w:styleId="PubTitle1IndexArticle">
    <w:name w:val="Pub_Title1_IndexArticle"/>
    <w:basedOn w:val="NormalTimesNewRoman"/>
    <w:rsid w:val="00CB3CDE"/>
    <w:pPr>
      <w:spacing w:after="120"/>
      <w:jc w:val="center"/>
    </w:pPr>
    <w:rPr>
      <w:b/>
      <w:smallCaps/>
      <w:sz w:val="30"/>
    </w:rPr>
  </w:style>
  <w:style w:type="paragraph" w:customStyle="1" w:styleId="PubTitle1IndexKey">
    <w:name w:val="Pub_Title1_IndexKey"/>
    <w:basedOn w:val="NormalTimesNewRoman"/>
    <w:rsid w:val="00CB3CDE"/>
    <w:pPr>
      <w:spacing w:after="600"/>
      <w:jc w:val="center"/>
    </w:pPr>
    <w:rPr>
      <w:b/>
      <w:smallCaps/>
      <w:sz w:val="30"/>
    </w:rPr>
  </w:style>
  <w:style w:type="paragraph" w:customStyle="1" w:styleId="PubTitle1Num">
    <w:name w:val="Pub_Title1_Num"/>
    <w:basedOn w:val="NormalTimesNewRoman"/>
    <w:next w:val="PubListCaseNo"/>
    <w:rsid w:val="00CB3CDE"/>
    <w:pPr>
      <w:spacing w:after="720"/>
      <w:jc w:val="center"/>
    </w:pPr>
    <w:rPr>
      <w:b/>
      <w:smallCaps/>
      <w:sz w:val="30"/>
    </w:rPr>
  </w:style>
  <w:style w:type="paragraph" w:customStyle="1" w:styleId="PubTitle2Country">
    <w:name w:val="Pub_Title2_Country"/>
    <w:basedOn w:val="NormalTimesNewRoman"/>
    <w:next w:val="PubListCases"/>
    <w:rsid w:val="00CB3CDE"/>
    <w:pPr>
      <w:keepNext/>
      <w:keepLines/>
      <w:spacing w:before="600" w:after="360"/>
    </w:pPr>
    <w:rPr>
      <w:b/>
    </w:rPr>
  </w:style>
  <w:style w:type="paragraph" w:customStyle="1" w:styleId="PubTitle2Letters">
    <w:name w:val="Pub_Title2_Letters"/>
    <w:basedOn w:val="NormalTimesNewRoman"/>
    <w:next w:val="PubListCases"/>
    <w:rsid w:val="00CB3CDE"/>
    <w:pPr>
      <w:keepNext/>
      <w:keepLines/>
      <w:spacing w:before="600" w:after="360"/>
    </w:pPr>
    <w:rPr>
      <w:b/>
      <w:sz w:val="28"/>
    </w:rPr>
  </w:style>
  <w:style w:type="paragraph" w:customStyle="1" w:styleId="PubTitle2Part">
    <w:name w:val="Pub_Title2_Part"/>
    <w:basedOn w:val="NormalTimesNewRoman"/>
    <w:rsid w:val="00CB3CDE"/>
    <w:pPr>
      <w:keepNext/>
      <w:keepLines/>
      <w:spacing w:before="600" w:after="240"/>
      <w:jc w:val="center"/>
    </w:pPr>
    <w:rPr>
      <w:b/>
      <w:caps/>
    </w:rPr>
  </w:style>
  <w:style w:type="paragraph" w:customStyle="1" w:styleId="PubTitle3Article">
    <w:name w:val="Pub_Title3_Article"/>
    <w:basedOn w:val="NormalTimesNewRoman"/>
    <w:rsid w:val="00CB3CDE"/>
    <w:pPr>
      <w:keepNext/>
      <w:keepLines/>
      <w:spacing w:before="360" w:after="120"/>
      <w:jc w:val="center"/>
    </w:pPr>
    <w:rPr>
      <w:b/>
      <w:smallCaps/>
      <w:sz w:val="22"/>
    </w:rPr>
  </w:style>
  <w:style w:type="paragraph" w:customStyle="1" w:styleId="PubTitle4ArticleSub">
    <w:name w:val="Pub_Title4_Article_Sub"/>
    <w:basedOn w:val="PubTitle3Article"/>
    <w:rsid w:val="00CB3CDE"/>
    <w:pPr>
      <w:spacing w:before="240"/>
    </w:pPr>
    <w:rPr>
      <w:smallCaps w:val="0"/>
      <w:sz w:val="20"/>
    </w:rPr>
  </w:style>
  <w:style w:type="paragraph" w:customStyle="1" w:styleId="PubTitle5Subject">
    <w:name w:val="Pub_Title5_Subject"/>
    <w:basedOn w:val="NormalTimesNewRoman"/>
    <w:rsid w:val="00CB3CDE"/>
    <w:pPr>
      <w:keepNext/>
      <w:keepLines/>
      <w:spacing w:before="240" w:after="120"/>
      <w:jc w:val="both"/>
    </w:pPr>
    <w:rPr>
      <w:b/>
      <w:i/>
    </w:rPr>
  </w:style>
  <w:style w:type="paragraph" w:customStyle="1" w:styleId="PubTitle6SubjectSub">
    <w:name w:val="Pub_Title6_Subject_Sub"/>
    <w:basedOn w:val="NormalTimesNewRoman"/>
    <w:rsid w:val="00CB3CDE"/>
    <w:pPr>
      <w:keepNext/>
      <w:keepLines/>
      <w:spacing w:before="240" w:after="120"/>
      <w:ind w:left="284"/>
      <w:jc w:val="both"/>
    </w:pPr>
    <w:rPr>
      <w:b/>
      <w:sz w:val="20"/>
    </w:rPr>
  </w:style>
  <w:style w:type="paragraph" w:customStyle="1" w:styleId="PubTitle7CaseName">
    <w:name w:val="Pub_Title7_CaseName"/>
    <w:basedOn w:val="NormalTimesNewRoman"/>
    <w:rsid w:val="00CB3CDE"/>
    <w:pPr>
      <w:keepLines/>
      <w:spacing w:after="240"/>
      <w:jc w:val="right"/>
    </w:pPr>
    <w:rPr>
      <w:sz w:val="22"/>
    </w:rPr>
  </w:style>
  <w:style w:type="paragraph" w:styleId="Salutations">
    <w:name w:val="Salutation"/>
    <w:basedOn w:val="Normal"/>
    <w:next w:val="Normal"/>
    <w:link w:val="SalutationsCar"/>
    <w:semiHidden/>
    <w:rsid w:val="00CB3CDE"/>
  </w:style>
  <w:style w:type="character" w:customStyle="1" w:styleId="SalutationsCar">
    <w:name w:val="Salutations Car"/>
    <w:link w:val="Salutations"/>
    <w:rsid w:val="00CB3CDE"/>
    <w:rPr>
      <w:sz w:val="24"/>
      <w:lang w:val="en-GB" w:eastAsia="fr-FR"/>
    </w:rPr>
  </w:style>
  <w:style w:type="paragraph" w:styleId="Signature">
    <w:name w:val="Signature"/>
    <w:basedOn w:val="Normal"/>
    <w:link w:val="SignatureCar"/>
    <w:semiHidden/>
    <w:rsid w:val="00CB3CDE"/>
    <w:pPr>
      <w:ind w:left="4252"/>
    </w:pPr>
  </w:style>
  <w:style w:type="character" w:customStyle="1" w:styleId="SignatureCar">
    <w:name w:val="Signature Car"/>
    <w:link w:val="Signature"/>
    <w:rsid w:val="00CB3CDE"/>
    <w:rPr>
      <w:sz w:val="24"/>
      <w:lang w:val="en-GB" w:eastAsia="fr-FR"/>
    </w:rPr>
  </w:style>
  <w:style w:type="paragraph" w:customStyle="1" w:styleId="SuCoverTitle1">
    <w:name w:val="Su_Cover_Title1"/>
    <w:basedOn w:val="NormalTimesNewRoman"/>
    <w:next w:val="Normal"/>
    <w:rsid w:val="00CB3CDE"/>
    <w:pPr>
      <w:spacing w:before="2500"/>
      <w:jc w:val="center"/>
    </w:pPr>
    <w:rPr>
      <w:sz w:val="22"/>
    </w:rPr>
  </w:style>
  <w:style w:type="paragraph" w:customStyle="1" w:styleId="SuCoverTitle2">
    <w:name w:val="Su_Cover_Title2"/>
    <w:basedOn w:val="SuCoverTitle1"/>
    <w:next w:val="Normal"/>
    <w:rsid w:val="00CB3CDE"/>
    <w:pPr>
      <w:spacing w:before="240"/>
    </w:pPr>
    <w:rPr>
      <w:sz w:val="18"/>
    </w:rPr>
  </w:style>
  <w:style w:type="paragraph" w:customStyle="1" w:styleId="SuSummary">
    <w:name w:val="Su_Summary"/>
    <w:basedOn w:val="NormalTimesNewRoman"/>
    <w:next w:val="Normal"/>
    <w:rsid w:val="00CB3CDE"/>
    <w:pPr>
      <w:spacing w:after="240"/>
      <w:jc w:val="center"/>
    </w:pPr>
  </w:style>
  <w:style w:type="paragraph" w:customStyle="1" w:styleId="SuSubject">
    <w:name w:val="Su_Subject"/>
    <w:basedOn w:val="SuSummary"/>
    <w:rsid w:val="00CB3CDE"/>
    <w:pPr>
      <w:spacing w:before="360"/>
      <w:jc w:val="both"/>
    </w:pPr>
    <w:rPr>
      <w:b/>
      <w:sz w:val="22"/>
    </w:rPr>
  </w:style>
  <w:style w:type="paragraph" w:customStyle="1" w:styleId="SuHHead">
    <w:name w:val="Su_H_Head"/>
    <w:basedOn w:val="SuSubject"/>
    <w:rsid w:val="00CB3CDE"/>
    <w:pPr>
      <w:spacing w:after="120"/>
    </w:pPr>
  </w:style>
  <w:style w:type="paragraph" w:customStyle="1" w:styleId="SuKeywords">
    <w:name w:val="Su_Keywords"/>
    <w:basedOn w:val="SuHHead"/>
    <w:rsid w:val="00CB3CDE"/>
    <w:pPr>
      <w:spacing w:before="120"/>
    </w:pPr>
    <w:rPr>
      <w:b w:val="0"/>
      <w:i/>
    </w:rPr>
  </w:style>
  <w:style w:type="paragraph" w:customStyle="1" w:styleId="SuPara">
    <w:name w:val="Su_Para"/>
    <w:basedOn w:val="SuKeywords"/>
    <w:rsid w:val="00CB3CDE"/>
    <w:pPr>
      <w:spacing w:before="0" w:after="0"/>
    </w:pPr>
    <w:rPr>
      <w:i w:val="0"/>
    </w:rPr>
  </w:style>
  <w:style w:type="paragraph" w:styleId="Sous-titre">
    <w:name w:val="Subtitle"/>
    <w:basedOn w:val="Normal"/>
    <w:next w:val="Normal"/>
    <w:link w:val="Sous-titreCar"/>
    <w:uiPriority w:val="99"/>
    <w:semiHidden/>
    <w:qFormat/>
    <w:rsid w:val="007F47C8"/>
    <w:pPr>
      <w:suppressAutoHyphens w:val="0"/>
      <w:spacing w:after="600"/>
      <w:jc w:val="both"/>
    </w:pPr>
    <w:rPr>
      <w:i/>
      <w:iCs/>
      <w:spacing w:val="13"/>
      <w:szCs w:val="24"/>
      <w:lang w:eastAsia="en-GB" w:bidi="en-US"/>
    </w:rPr>
  </w:style>
  <w:style w:type="character" w:customStyle="1" w:styleId="Sous-titreCar">
    <w:name w:val="Sous-titre Car"/>
    <w:link w:val="Sous-titre"/>
    <w:uiPriority w:val="99"/>
    <w:rsid w:val="007F47C8"/>
    <w:rPr>
      <w:rFonts w:ascii="Times New Roman" w:eastAsia="Times New Roman" w:hAnsi="Times New Roman" w:cs="Times New Roman"/>
      <w:i/>
      <w:iCs/>
      <w:spacing w:val="13"/>
      <w:sz w:val="24"/>
      <w:szCs w:val="24"/>
      <w:lang w:bidi="en-US"/>
    </w:rPr>
  </w:style>
  <w:style w:type="table" w:styleId="Effets3D1">
    <w:name w:val="Table 3D effects 1"/>
    <w:basedOn w:val="TableauNormal"/>
    <w:semiHidden/>
    <w:rsid w:val="00CB3CDE"/>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CB3CDE"/>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CB3CDE"/>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CB3CDE"/>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CB3CDE"/>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CB3CDE"/>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CB3CDE"/>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CB3CDE"/>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CB3CDE"/>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CB3CDE"/>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CB3CDE"/>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CB3CDE"/>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CB3CDE"/>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CB3CDE"/>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CB3CDE"/>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CB3CDE"/>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CB3CDE"/>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1">
    <w:name w:val="Table Grid 1"/>
    <w:basedOn w:val="TableauNormal"/>
    <w:semiHidden/>
    <w:rsid w:val="00CB3CDE"/>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CB3CDE"/>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CB3CDE"/>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CB3CDE"/>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CB3CDE"/>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CB3CDE"/>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CB3CDE"/>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CB3CDE"/>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eencolonnes1">
    <w:name w:val="Table List 1"/>
    <w:basedOn w:val="TableauNormal"/>
    <w:semiHidden/>
    <w:rsid w:val="00CB3CDE"/>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2">
    <w:name w:val="Table List 2"/>
    <w:basedOn w:val="TableauNormal"/>
    <w:semiHidden/>
    <w:rsid w:val="00CB3CDE"/>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3">
    <w:name w:val="Table List 3"/>
    <w:basedOn w:val="TableauNormal"/>
    <w:semiHidden/>
    <w:rsid w:val="00CB3CDE"/>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eencolonnes4">
    <w:name w:val="Table List 4"/>
    <w:basedOn w:val="TableauNormal"/>
    <w:semiHidden/>
    <w:rsid w:val="00CB3CDE"/>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eencolonnes5">
    <w:name w:val="Table List 5"/>
    <w:basedOn w:val="TableauNormal"/>
    <w:semiHidden/>
    <w:rsid w:val="00CB3CDE"/>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eencolonnes6">
    <w:name w:val="Table List 6"/>
    <w:basedOn w:val="TableauNormal"/>
    <w:semiHidden/>
    <w:rsid w:val="00CB3CDE"/>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eencolonnes7">
    <w:name w:val="Table List 7"/>
    <w:basedOn w:val="TableauNormal"/>
    <w:semiHidden/>
    <w:rsid w:val="00CB3CDE"/>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eencolonnes8">
    <w:name w:val="Table List 8"/>
    <w:basedOn w:val="TableauNormal"/>
    <w:semiHidden/>
    <w:rsid w:val="00CB3CDE"/>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autorits">
    <w:name w:val="table of authorities"/>
    <w:basedOn w:val="Normal"/>
    <w:next w:val="Normal"/>
    <w:semiHidden/>
    <w:rsid w:val="00CB3CDE"/>
    <w:pPr>
      <w:ind w:left="240" w:hanging="240"/>
    </w:pPr>
  </w:style>
  <w:style w:type="paragraph" w:styleId="Tabledesillustrations">
    <w:name w:val="table of figures"/>
    <w:basedOn w:val="Normal"/>
    <w:next w:val="Normal"/>
    <w:semiHidden/>
    <w:rsid w:val="00CB3CDE"/>
  </w:style>
  <w:style w:type="table" w:styleId="Professionnel">
    <w:name w:val="Table Professional"/>
    <w:basedOn w:val="TableauNormal"/>
    <w:semiHidden/>
    <w:rsid w:val="00CB3CDE"/>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CB3CDE"/>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CB3CDE"/>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CB3CDE"/>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CB3CDE"/>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CB3CDE"/>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CB3CD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CB3CDE"/>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CB3CDE"/>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CB3CDE"/>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99"/>
    <w:semiHidden/>
    <w:qFormat/>
    <w:rsid w:val="007F47C8"/>
    <w:pPr>
      <w:pBdr>
        <w:bottom w:val="single" w:sz="4" w:space="1" w:color="auto"/>
      </w:pBdr>
      <w:suppressAutoHyphens w:val="0"/>
      <w:contextualSpacing/>
      <w:jc w:val="both"/>
    </w:pPr>
    <w:rPr>
      <w:spacing w:val="5"/>
      <w:sz w:val="52"/>
      <w:szCs w:val="52"/>
      <w:lang w:eastAsia="en-GB" w:bidi="en-US"/>
    </w:rPr>
  </w:style>
  <w:style w:type="character" w:customStyle="1" w:styleId="TitreCar">
    <w:name w:val="Titre Car"/>
    <w:link w:val="Titre"/>
    <w:uiPriority w:val="99"/>
    <w:rsid w:val="007F47C8"/>
    <w:rPr>
      <w:rFonts w:ascii="Times New Roman" w:eastAsia="Times New Roman" w:hAnsi="Times New Roman" w:cs="Times New Roman"/>
      <w:spacing w:val="5"/>
      <w:sz w:val="52"/>
      <w:szCs w:val="52"/>
      <w:lang w:bidi="en-US"/>
    </w:rPr>
  </w:style>
  <w:style w:type="paragraph" w:styleId="Titredetablederfrences">
    <w:name w:val="toa heading"/>
    <w:basedOn w:val="Normal"/>
    <w:next w:val="Normal"/>
    <w:semiHidden/>
    <w:rsid w:val="00CB3CDE"/>
    <w:pPr>
      <w:spacing w:before="120"/>
    </w:pPr>
    <w:rPr>
      <w:rFonts w:ascii="Arial" w:hAnsi="Arial" w:cs="Arial"/>
      <w:b/>
      <w:bCs/>
      <w:szCs w:val="24"/>
    </w:rPr>
  </w:style>
  <w:style w:type="paragraph" w:styleId="TM1">
    <w:name w:val="toc 1"/>
    <w:basedOn w:val="Normal"/>
    <w:next w:val="Normal"/>
    <w:autoRedefine/>
    <w:semiHidden/>
    <w:rsid w:val="00CB3CDE"/>
  </w:style>
  <w:style w:type="paragraph" w:styleId="TM2">
    <w:name w:val="toc 2"/>
    <w:basedOn w:val="Normal"/>
    <w:next w:val="Normal"/>
    <w:autoRedefine/>
    <w:semiHidden/>
    <w:rsid w:val="00CB3CDE"/>
    <w:pPr>
      <w:ind w:left="240"/>
    </w:pPr>
  </w:style>
  <w:style w:type="paragraph" w:styleId="TM3">
    <w:name w:val="toc 3"/>
    <w:basedOn w:val="Normal"/>
    <w:next w:val="Normal"/>
    <w:autoRedefine/>
    <w:semiHidden/>
    <w:rsid w:val="00CB3CDE"/>
    <w:pPr>
      <w:ind w:left="480"/>
    </w:pPr>
  </w:style>
  <w:style w:type="paragraph" w:styleId="TM4">
    <w:name w:val="toc 4"/>
    <w:basedOn w:val="Normal"/>
    <w:next w:val="Normal"/>
    <w:autoRedefine/>
    <w:semiHidden/>
    <w:rsid w:val="00CB3CDE"/>
    <w:pPr>
      <w:ind w:left="720"/>
    </w:pPr>
  </w:style>
  <w:style w:type="paragraph" w:styleId="TM5">
    <w:name w:val="toc 5"/>
    <w:basedOn w:val="Normal"/>
    <w:next w:val="Normal"/>
    <w:autoRedefine/>
    <w:semiHidden/>
    <w:rsid w:val="00CB3CDE"/>
    <w:pPr>
      <w:ind w:left="960"/>
    </w:pPr>
  </w:style>
  <w:style w:type="paragraph" w:styleId="TM6">
    <w:name w:val="toc 6"/>
    <w:basedOn w:val="Normal"/>
    <w:next w:val="Normal"/>
    <w:autoRedefine/>
    <w:semiHidden/>
    <w:rsid w:val="00CB3CDE"/>
    <w:pPr>
      <w:ind w:left="1200"/>
    </w:pPr>
  </w:style>
  <w:style w:type="paragraph" w:styleId="TM7">
    <w:name w:val="toc 7"/>
    <w:basedOn w:val="Normal"/>
    <w:next w:val="Normal"/>
    <w:autoRedefine/>
    <w:semiHidden/>
    <w:rsid w:val="00CB3CDE"/>
    <w:pPr>
      <w:ind w:left="1440"/>
    </w:pPr>
  </w:style>
  <w:style w:type="paragraph" w:styleId="TM8">
    <w:name w:val="toc 8"/>
    <w:basedOn w:val="Normal"/>
    <w:next w:val="Normal"/>
    <w:autoRedefine/>
    <w:semiHidden/>
    <w:rsid w:val="00CB3CDE"/>
    <w:pPr>
      <w:ind w:left="1680"/>
    </w:pPr>
  </w:style>
  <w:style w:type="paragraph" w:styleId="TM9">
    <w:name w:val="toc 9"/>
    <w:basedOn w:val="Normal"/>
    <w:next w:val="Normal"/>
    <w:autoRedefine/>
    <w:semiHidden/>
    <w:rsid w:val="00CB3CDE"/>
    <w:pPr>
      <w:ind w:left="1920"/>
    </w:pPr>
  </w:style>
  <w:style w:type="paragraph" w:customStyle="1" w:styleId="JuHAA">
    <w:name w:val="Ju_H_AA"/>
    <w:basedOn w:val="ECHRHeading1"/>
    <w:next w:val="JuPara"/>
    <w:rsid w:val="00570D09"/>
    <w:pPr>
      <w:tabs>
        <w:tab w:val="clear" w:pos="357"/>
        <w:tab w:val="left" w:pos="584"/>
      </w:tabs>
      <w:suppressAutoHyphens/>
      <w:ind w:left="584" w:hanging="352"/>
      <w:outlineLvl w:val="9"/>
    </w:pPr>
    <w:rPr>
      <w:b/>
    </w:rPr>
  </w:style>
  <w:style w:type="character" w:customStyle="1" w:styleId="s6b621b36">
    <w:name w:val="s6b621b36"/>
    <w:rsid w:val="005F4E83"/>
  </w:style>
  <w:style w:type="character" w:customStyle="1" w:styleId="JUNAMES0">
    <w:name w:val="JU_NAMES"/>
    <w:uiPriority w:val="17"/>
    <w:qFormat/>
    <w:rsid w:val="007F47C8"/>
    <w:rPr>
      <w:caps w:val="0"/>
      <w:smallCaps/>
    </w:rPr>
  </w:style>
  <w:style w:type="paragraph" w:customStyle="1" w:styleId="ECHRHeading5">
    <w:name w:val="ECHR_Heading_5"/>
    <w:aliases w:val="Ju_H_i"/>
    <w:basedOn w:val="Titre5"/>
    <w:next w:val="JuPara"/>
    <w:uiPriority w:val="23"/>
    <w:qFormat/>
    <w:rsid w:val="007F47C8"/>
    <w:pPr>
      <w:keepNext/>
      <w:keepLines/>
      <w:tabs>
        <w:tab w:val="left" w:pos="1191"/>
      </w:tabs>
      <w:spacing w:before="240" w:after="120"/>
      <w:ind w:left="1190" w:hanging="357"/>
    </w:pPr>
    <w:rPr>
      <w:b w:val="0"/>
      <w:i/>
      <w:color w:val="auto"/>
      <w:sz w:val="20"/>
    </w:rPr>
  </w:style>
  <w:style w:type="paragraph" w:customStyle="1" w:styleId="OpiH10">
    <w:name w:val="Opi_H_1"/>
    <w:basedOn w:val="ECHRHeading2"/>
    <w:uiPriority w:val="42"/>
    <w:qFormat/>
    <w:rsid w:val="007F47C8"/>
    <w:pPr>
      <w:ind w:left="635" w:hanging="357"/>
      <w:outlineLvl w:val="2"/>
    </w:pPr>
  </w:style>
  <w:style w:type="paragraph" w:customStyle="1" w:styleId="DummyStyle">
    <w:name w:val="Dummy_Style"/>
    <w:basedOn w:val="Normal"/>
    <w:semiHidden/>
    <w:qFormat/>
    <w:rsid w:val="007F47C8"/>
    <w:pPr>
      <w:suppressAutoHyphens w:val="0"/>
      <w:jc w:val="both"/>
    </w:pPr>
    <w:rPr>
      <w:color w:val="00B050"/>
      <w:lang w:eastAsia="en-GB"/>
    </w:rPr>
  </w:style>
  <w:style w:type="character" w:customStyle="1" w:styleId="Titre5Car">
    <w:name w:val="Titre 5 Car"/>
    <w:link w:val="Titre5"/>
    <w:uiPriority w:val="99"/>
    <w:rsid w:val="007F47C8"/>
    <w:rPr>
      <w:rFonts w:ascii="Times New Roman" w:eastAsia="Times New Roman" w:hAnsi="Times New Roman" w:cs="Times New Roman"/>
      <w:b/>
      <w:bCs/>
      <w:color w:val="808080"/>
    </w:rPr>
  </w:style>
  <w:style w:type="character" w:customStyle="1" w:styleId="Titre7Car">
    <w:name w:val="Titre 7 Car"/>
    <w:link w:val="Titre7"/>
    <w:uiPriority w:val="99"/>
    <w:rsid w:val="007F47C8"/>
    <w:rPr>
      <w:rFonts w:ascii="Times New Roman" w:eastAsia="Times New Roman" w:hAnsi="Times New Roman" w:cs="Times New Roman"/>
      <w:i/>
      <w:iCs/>
      <w:lang w:bidi="en-US"/>
    </w:rPr>
  </w:style>
  <w:style w:type="character" w:customStyle="1" w:styleId="Titre8Car">
    <w:name w:val="Titre 8 Car"/>
    <w:link w:val="Titre8"/>
    <w:uiPriority w:val="99"/>
    <w:rsid w:val="007F47C8"/>
    <w:rPr>
      <w:rFonts w:ascii="Times New Roman" w:eastAsia="Times New Roman" w:hAnsi="Times New Roman" w:cs="Times New Roman"/>
      <w:sz w:val="20"/>
      <w:szCs w:val="20"/>
      <w:lang w:bidi="en-US"/>
    </w:rPr>
  </w:style>
  <w:style w:type="character" w:customStyle="1" w:styleId="Titre9Car">
    <w:name w:val="Titre 9 Car"/>
    <w:link w:val="Titre9"/>
    <w:uiPriority w:val="99"/>
    <w:rsid w:val="007F47C8"/>
    <w:rPr>
      <w:rFonts w:ascii="Times New Roman" w:eastAsia="Times New Roman" w:hAnsi="Times New Roman" w:cs="Times New Roman"/>
      <w:i/>
      <w:iCs/>
      <w:spacing w:val="5"/>
      <w:sz w:val="20"/>
      <w:szCs w:val="20"/>
      <w:lang w:bidi="en-US"/>
    </w:rPr>
  </w:style>
  <w:style w:type="paragraph" w:styleId="Sansinterligne">
    <w:name w:val="No Spacing"/>
    <w:basedOn w:val="Normal"/>
    <w:link w:val="SansinterligneCar"/>
    <w:semiHidden/>
    <w:qFormat/>
    <w:rsid w:val="007F47C8"/>
    <w:pPr>
      <w:suppressAutoHyphens w:val="0"/>
      <w:jc w:val="both"/>
    </w:pPr>
    <w:rPr>
      <w:sz w:val="22"/>
      <w:lang w:eastAsia="en-GB"/>
    </w:rPr>
  </w:style>
  <w:style w:type="character" w:customStyle="1" w:styleId="SansinterligneCar">
    <w:name w:val="Sans interligne Car"/>
    <w:link w:val="Sansinterligne"/>
    <w:rsid w:val="007F47C8"/>
    <w:rPr>
      <w:rFonts w:eastAsia="Times New Roman"/>
    </w:rPr>
  </w:style>
  <w:style w:type="paragraph" w:styleId="Paragraphedeliste">
    <w:name w:val="List Paragraph"/>
    <w:basedOn w:val="Normal"/>
    <w:uiPriority w:val="99"/>
    <w:semiHidden/>
    <w:qFormat/>
    <w:rsid w:val="007F47C8"/>
    <w:pPr>
      <w:suppressAutoHyphens w:val="0"/>
      <w:ind w:left="720"/>
      <w:contextualSpacing/>
      <w:jc w:val="both"/>
    </w:pPr>
    <w:rPr>
      <w:lang w:eastAsia="en-GB"/>
    </w:rPr>
  </w:style>
  <w:style w:type="paragraph" w:styleId="Citation">
    <w:name w:val="Quote"/>
    <w:basedOn w:val="Normal"/>
    <w:next w:val="Normal"/>
    <w:link w:val="CitationCar"/>
    <w:uiPriority w:val="99"/>
    <w:semiHidden/>
    <w:qFormat/>
    <w:rsid w:val="007F47C8"/>
    <w:pPr>
      <w:suppressAutoHyphens w:val="0"/>
      <w:spacing w:before="200"/>
      <w:ind w:left="360" w:right="360"/>
      <w:jc w:val="both"/>
    </w:pPr>
    <w:rPr>
      <w:i/>
      <w:iCs/>
      <w:sz w:val="22"/>
      <w:lang w:eastAsia="en-GB" w:bidi="en-US"/>
    </w:rPr>
  </w:style>
  <w:style w:type="character" w:customStyle="1" w:styleId="CitationCar">
    <w:name w:val="Citation Car"/>
    <w:link w:val="Citation"/>
    <w:uiPriority w:val="99"/>
    <w:rsid w:val="007F47C8"/>
    <w:rPr>
      <w:rFonts w:eastAsia="Times New Roman"/>
      <w:i/>
      <w:iCs/>
      <w:lang w:bidi="en-US"/>
    </w:rPr>
  </w:style>
  <w:style w:type="paragraph" w:styleId="Citationintense">
    <w:name w:val="Intense Quote"/>
    <w:basedOn w:val="Normal"/>
    <w:next w:val="Normal"/>
    <w:link w:val="CitationintenseCar"/>
    <w:uiPriority w:val="99"/>
    <w:semiHidden/>
    <w:qFormat/>
    <w:rsid w:val="007F47C8"/>
    <w:pPr>
      <w:pBdr>
        <w:bottom w:val="single" w:sz="4" w:space="1" w:color="auto"/>
      </w:pBdr>
      <w:suppressAutoHyphens w:val="0"/>
      <w:spacing w:before="200" w:after="280"/>
      <w:ind w:left="1008" w:right="1152"/>
      <w:jc w:val="both"/>
    </w:pPr>
    <w:rPr>
      <w:b/>
      <w:bCs/>
      <w:i/>
      <w:iCs/>
      <w:sz w:val="22"/>
      <w:lang w:eastAsia="en-GB" w:bidi="en-US"/>
    </w:rPr>
  </w:style>
  <w:style w:type="character" w:customStyle="1" w:styleId="CitationintenseCar">
    <w:name w:val="Citation intense Car"/>
    <w:link w:val="Citationintense"/>
    <w:uiPriority w:val="99"/>
    <w:rsid w:val="007F47C8"/>
    <w:rPr>
      <w:rFonts w:eastAsia="Times New Roman"/>
      <w:b/>
      <w:bCs/>
      <w:i/>
      <w:iCs/>
      <w:lang w:bidi="en-US"/>
    </w:rPr>
  </w:style>
  <w:style w:type="character" w:styleId="Accentuationdiscrte">
    <w:name w:val="Subtle Emphasis"/>
    <w:uiPriority w:val="99"/>
    <w:semiHidden/>
    <w:qFormat/>
    <w:rsid w:val="007F47C8"/>
    <w:rPr>
      <w:i/>
      <w:iCs/>
    </w:rPr>
  </w:style>
  <w:style w:type="character" w:styleId="Forteaccentuation">
    <w:name w:val="Intense Emphasis"/>
    <w:uiPriority w:val="99"/>
    <w:semiHidden/>
    <w:qFormat/>
    <w:rsid w:val="007F47C8"/>
    <w:rPr>
      <w:b/>
      <w:bCs/>
    </w:rPr>
  </w:style>
  <w:style w:type="character" w:styleId="Rfrenceple">
    <w:name w:val="Subtle Reference"/>
    <w:uiPriority w:val="99"/>
    <w:semiHidden/>
    <w:qFormat/>
    <w:rsid w:val="007F47C8"/>
    <w:rPr>
      <w:smallCaps/>
    </w:rPr>
  </w:style>
  <w:style w:type="character" w:styleId="Rfrenceintense">
    <w:name w:val="Intense Reference"/>
    <w:uiPriority w:val="99"/>
    <w:semiHidden/>
    <w:qFormat/>
    <w:rsid w:val="007F47C8"/>
    <w:rPr>
      <w:smallCaps/>
      <w:spacing w:val="5"/>
      <w:u w:val="single"/>
    </w:rPr>
  </w:style>
  <w:style w:type="character" w:styleId="Titredulivre">
    <w:name w:val="Book Title"/>
    <w:uiPriority w:val="99"/>
    <w:semiHidden/>
    <w:qFormat/>
    <w:rsid w:val="007F47C8"/>
    <w:rPr>
      <w:i/>
      <w:iCs/>
      <w:smallCaps/>
      <w:spacing w:val="5"/>
    </w:rPr>
  </w:style>
  <w:style w:type="paragraph" w:styleId="En-ttedetabledesmatires">
    <w:name w:val="TOC Heading"/>
    <w:basedOn w:val="Titre1"/>
    <w:next w:val="Normal"/>
    <w:uiPriority w:val="99"/>
    <w:semiHidden/>
    <w:qFormat/>
    <w:rsid w:val="007F47C8"/>
    <w:pPr>
      <w:keepNext w:val="0"/>
      <w:numPr>
        <w:numId w:val="0"/>
      </w:numPr>
      <w:suppressAutoHyphens w:val="0"/>
      <w:spacing w:before="480" w:after="0"/>
      <w:contextualSpacing/>
      <w:jc w:val="both"/>
      <w:outlineLvl w:val="9"/>
    </w:pPr>
    <w:rPr>
      <w:bCs/>
      <w:color w:val="474747"/>
      <w:szCs w:val="28"/>
      <w:lang w:eastAsia="en-GB"/>
    </w:rPr>
  </w:style>
  <w:style w:type="paragraph" w:styleId="Bibliographie">
    <w:name w:val="Bibliography"/>
    <w:basedOn w:val="Normal"/>
    <w:next w:val="Normal"/>
    <w:uiPriority w:val="37"/>
    <w:semiHidden/>
    <w:unhideWhenUsed/>
    <w:rsid w:val="007F47C8"/>
  </w:style>
  <w:style w:type="table" w:customStyle="1" w:styleId="ColorfulGrid1">
    <w:name w:val="Colorful Grid1"/>
    <w:basedOn w:val="TableauNormal"/>
    <w:uiPriority w:val="73"/>
    <w:semiHidden/>
    <w:rsid w:val="007F47C8"/>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semiHidden/>
    <w:rsid w:val="007F47C8"/>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Grillecouleur-Accent2">
    <w:name w:val="Colorful Grid Accent 2"/>
    <w:basedOn w:val="TableauNormal"/>
    <w:uiPriority w:val="73"/>
    <w:semiHidden/>
    <w:rsid w:val="007F47C8"/>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Grillecouleur-Accent3">
    <w:name w:val="Colorful Grid Accent 3"/>
    <w:basedOn w:val="TableauNormal"/>
    <w:uiPriority w:val="73"/>
    <w:semiHidden/>
    <w:rsid w:val="007F47C8"/>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Grillecouleur-Accent4">
    <w:name w:val="Colorful Grid Accent 4"/>
    <w:basedOn w:val="TableauNormal"/>
    <w:uiPriority w:val="73"/>
    <w:semiHidden/>
    <w:rsid w:val="007F47C8"/>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Grillecouleur-Accent5">
    <w:name w:val="Colorful Grid Accent 5"/>
    <w:basedOn w:val="TableauNormal"/>
    <w:uiPriority w:val="73"/>
    <w:semiHidden/>
    <w:rsid w:val="007F47C8"/>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Grillecouleur-Accent6">
    <w:name w:val="Colorful Grid Accent 6"/>
    <w:basedOn w:val="TableauNormal"/>
    <w:uiPriority w:val="73"/>
    <w:semiHidden/>
    <w:rsid w:val="007F47C8"/>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1">
    <w:name w:val="Colorful List1"/>
    <w:basedOn w:val="TableauNormal"/>
    <w:uiPriority w:val="72"/>
    <w:semiHidden/>
    <w:rsid w:val="007F47C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semiHidden/>
    <w:rsid w:val="007F47C8"/>
    <w:rPr>
      <w:color w:val="00000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Listecouleur-Accent2">
    <w:name w:val="Colorful List Accent 2"/>
    <w:basedOn w:val="TableauNormal"/>
    <w:uiPriority w:val="72"/>
    <w:semiHidden/>
    <w:rsid w:val="007F47C8"/>
    <w:rPr>
      <w:color w:val="00000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Listecouleur-Accent3">
    <w:name w:val="Colorful List Accent 3"/>
    <w:basedOn w:val="TableauNormal"/>
    <w:uiPriority w:val="72"/>
    <w:semiHidden/>
    <w:rsid w:val="007F47C8"/>
    <w:rPr>
      <w:color w:val="00000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Listecouleur-Accent4">
    <w:name w:val="Colorful List Accent 4"/>
    <w:basedOn w:val="TableauNormal"/>
    <w:uiPriority w:val="72"/>
    <w:semiHidden/>
    <w:rsid w:val="007F47C8"/>
    <w:rPr>
      <w:color w:val="00000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Listecouleur-Accent5">
    <w:name w:val="Colorful List Accent 5"/>
    <w:basedOn w:val="TableauNormal"/>
    <w:uiPriority w:val="72"/>
    <w:semiHidden/>
    <w:rsid w:val="007F47C8"/>
    <w:rPr>
      <w:color w:val="00000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Listecouleur-Accent6">
    <w:name w:val="Colorful List Accent 6"/>
    <w:basedOn w:val="TableauNormal"/>
    <w:uiPriority w:val="72"/>
    <w:semiHidden/>
    <w:rsid w:val="007F47C8"/>
    <w:rPr>
      <w:color w:val="00000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1">
    <w:name w:val="Colorful Shading1"/>
    <w:basedOn w:val="TableauNormal"/>
    <w:uiPriority w:val="71"/>
    <w:semiHidden/>
    <w:rsid w:val="007F47C8"/>
    <w:rPr>
      <w:color w:val="00000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semiHidden/>
    <w:rsid w:val="007F47C8"/>
    <w:rPr>
      <w:color w:val="00000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semiHidden/>
    <w:rsid w:val="007F47C8"/>
    <w:rPr>
      <w:color w:val="00000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semiHidden/>
    <w:rsid w:val="007F47C8"/>
    <w:rPr>
      <w:color w:val="00000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Tramecouleur-Accent4">
    <w:name w:val="Colorful Shading Accent 4"/>
    <w:basedOn w:val="TableauNormal"/>
    <w:uiPriority w:val="71"/>
    <w:semiHidden/>
    <w:rsid w:val="007F47C8"/>
    <w:rPr>
      <w:color w:val="00000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semiHidden/>
    <w:rsid w:val="007F47C8"/>
    <w:rPr>
      <w:color w:val="00000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semiHidden/>
    <w:rsid w:val="007F47C8"/>
    <w:rPr>
      <w:color w:val="00000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1">
    <w:name w:val="Dark List1"/>
    <w:basedOn w:val="TableauNormal"/>
    <w:uiPriority w:val="70"/>
    <w:semiHidden/>
    <w:rsid w:val="007F47C8"/>
    <w:rPr>
      <w:color w:val="0072BC"/>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semiHidden/>
    <w:rsid w:val="007F47C8"/>
    <w:rPr>
      <w:color w:val="0072BC"/>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Listefonce-Accent2">
    <w:name w:val="Dark List Accent 2"/>
    <w:basedOn w:val="TableauNormal"/>
    <w:uiPriority w:val="70"/>
    <w:semiHidden/>
    <w:rsid w:val="007F47C8"/>
    <w:rPr>
      <w:color w:val="0072BC"/>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Listefonce-Accent3">
    <w:name w:val="Dark List Accent 3"/>
    <w:basedOn w:val="TableauNormal"/>
    <w:uiPriority w:val="70"/>
    <w:semiHidden/>
    <w:rsid w:val="007F47C8"/>
    <w:rPr>
      <w:color w:val="0072BC"/>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Listefonce-Accent4">
    <w:name w:val="Dark List Accent 4"/>
    <w:basedOn w:val="TableauNormal"/>
    <w:uiPriority w:val="70"/>
    <w:semiHidden/>
    <w:rsid w:val="007F47C8"/>
    <w:rPr>
      <w:color w:val="0072BC"/>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Listefonce-Accent5">
    <w:name w:val="Dark List Accent 5"/>
    <w:basedOn w:val="TableauNormal"/>
    <w:uiPriority w:val="70"/>
    <w:semiHidden/>
    <w:rsid w:val="007F47C8"/>
    <w:rPr>
      <w:color w:val="0072BC"/>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Listefonce-Accent6">
    <w:name w:val="Dark List Accent 6"/>
    <w:basedOn w:val="TableauNormal"/>
    <w:uiPriority w:val="70"/>
    <w:semiHidden/>
    <w:rsid w:val="007F47C8"/>
    <w:rPr>
      <w:color w:val="0072BC"/>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customStyle="1" w:styleId="LightGrid1">
    <w:name w:val="Light Grid1"/>
    <w:basedOn w:val="TableauNormal"/>
    <w:uiPriority w:val="62"/>
    <w:semiHidden/>
    <w:rsid w:val="007F47C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auNormal"/>
    <w:uiPriority w:val="62"/>
    <w:semiHidden/>
    <w:rsid w:val="007F47C8"/>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Grilleclaire-Accent2">
    <w:name w:val="Light Grid Accent 2"/>
    <w:basedOn w:val="TableauNormal"/>
    <w:uiPriority w:val="62"/>
    <w:semiHidden/>
    <w:rsid w:val="007F47C8"/>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Grilleclaire-Accent3">
    <w:name w:val="Light Grid Accent 3"/>
    <w:basedOn w:val="TableauNormal"/>
    <w:uiPriority w:val="62"/>
    <w:semiHidden/>
    <w:rsid w:val="007F47C8"/>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Grilleclaire-Accent4">
    <w:name w:val="Light Grid Accent 4"/>
    <w:basedOn w:val="TableauNormal"/>
    <w:uiPriority w:val="62"/>
    <w:semiHidden/>
    <w:rsid w:val="007F47C8"/>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Grilleclaire-Accent5">
    <w:name w:val="Light Grid Accent 5"/>
    <w:basedOn w:val="TableauNormal"/>
    <w:uiPriority w:val="62"/>
    <w:semiHidden/>
    <w:rsid w:val="007F47C8"/>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Grilleclaire-Accent6">
    <w:name w:val="Light Grid Accent 6"/>
    <w:basedOn w:val="TableauNormal"/>
    <w:uiPriority w:val="62"/>
    <w:semiHidden/>
    <w:rsid w:val="007F47C8"/>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1">
    <w:name w:val="Light List1"/>
    <w:basedOn w:val="TableauNormal"/>
    <w:uiPriority w:val="61"/>
    <w:semiHidden/>
    <w:rsid w:val="007F47C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uiPriority w:val="61"/>
    <w:semiHidden/>
    <w:rsid w:val="007F47C8"/>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steclaire-Accent2">
    <w:name w:val="Light List Accent 2"/>
    <w:basedOn w:val="TableauNormal"/>
    <w:uiPriority w:val="61"/>
    <w:semiHidden/>
    <w:rsid w:val="007F47C8"/>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steclaire-Accent3">
    <w:name w:val="Light List Accent 3"/>
    <w:basedOn w:val="TableauNormal"/>
    <w:uiPriority w:val="61"/>
    <w:semiHidden/>
    <w:rsid w:val="007F47C8"/>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steclaire-Accent4">
    <w:name w:val="Light List Accent 4"/>
    <w:basedOn w:val="TableauNormal"/>
    <w:uiPriority w:val="61"/>
    <w:semiHidden/>
    <w:rsid w:val="007F47C8"/>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steclaire-Accent5">
    <w:name w:val="Light List Accent 5"/>
    <w:basedOn w:val="TableauNormal"/>
    <w:uiPriority w:val="61"/>
    <w:semiHidden/>
    <w:rsid w:val="007F47C8"/>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steclaire-Accent6">
    <w:name w:val="Light List Accent 6"/>
    <w:basedOn w:val="TableauNormal"/>
    <w:uiPriority w:val="61"/>
    <w:semiHidden/>
    <w:rsid w:val="007F47C8"/>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1">
    <w:name w:val="Light Shading1"/>
    <w:basedOn w:val="TableauNormal"/>
    <w:uiPriority w:val="60"/>
    <w:semiHidden/>
    <w:rsid w:val="007F47C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auNormal"/>
    <w:uiPriority w:val="60"/>
    <w:semiHidden/>
    <w:rsid w:val="007F47C8"/>
    <w:rPr>
      <w:color w:val="00548C"/>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Trameclaire-Accent2">
    <w:name w:val="Light Shading Accent 2"/>
    <w:basedOn w:val="TableauNormal"/>
    <w:uiPriority w:val="60"/>
    <w:semiHidden/>
    <w:rsid w:val="007F47C8"/>
    <w:rPr>
      <w:color w:val="8F000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Trameclaire-Accent3">
    <w:name w:val="Light Shading Accent 3"/>
    <w:basedOn w:val="TableauNormal"/>
    <w:uiPriority w:val="60"/>
    <w:semiHidden/>
    <w:rsid w:val="007F47C8"/>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Trameclaire-Accent4">
    <w:name w:val="Light Shading Accent 4"/>
    <w:basedOn w:val="TableauNormal"/>
    <w:uiPriority w:val="60"/>
    <w:semiHidden/>
    <w:rsid w:val="007F47C8"/>
    <w:rPr>
      <w:color w:val="70707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Trameclaire-Accent5">
    <w:name w:val="Light Shading Accent 5"/>
    <w:basedOn w:val="TableauNormal"/>
    <w:uiPriority w:val="60"/>
    <w:semiHidden/>
    <w:rsid w:val="007F47C8"/>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Trameclaire-Accent6">
    <w:name w:val="Light Shading Accent 6"/>
    <w:basedOn w:val="TableauNormal"/>
    <w:uiPriority w:val="60"/>
    <w:semiHidden/>
    <w:rsid w:val="007F47C8"/>
    <w:rPr>
      <w:color w:val="393939"/>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11">
    <w:name w:val="Medium Grid 11"/>
    <w:basedOn w:val="TableauNormal"/>
    <w:uiPriority w:val="67"/>
    <w:semiHidden/>
    <w:rsid w:val="007F47C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semiHidden/>
    <w:rsid w:val="007F47C8"/>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Grillemoyenne1-Accent2">
    <w:name w:val="Medium Grid 1 Accent 2"/>
    <w:basedOn w:val="TableauNormal"/>
    <w:uiPriority w:val="67"/>
    <w:semiHidden/>
    <w:rsid w:val="007F47C8"/>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Grillemoyenne1-Accent3">
    <w:name w:val="Medium Grid 1 Accent 3"/>
    <w:basedOn w:val="TableauNormal"/>
    <w:uiPriority w:val="67"/>
    <w:semiHidden/>
    <w:rsid w:val="007F47C8"/>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Grillemoyenne1-Accent4">
    <w:name w:val="Medium Grid 1 Accent 4"/>
    <w:basedOn w:val="TableauNormal"/>
    <w:uiPriority w:val="67"/>
    <w:semiHidden/>
    <w:rsid w:val="007F47C8"/>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Grillemoyenne1-Accent5">
    <w:name w:val="Medium Grid 1 Accent 5"/>
    <w:basedOn w:val="TableauNormal"/>
    <w:uiPriority w:val="67"/>
    <w:semiHidden/>
    <w:rsid w:val="007F47C8"/>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Grillemoyenne1-Accent6">
    <w:name w:val="Medium Grid 1 Accent 6"/>
    <w:basedOn w:val="TableauNormal"/>
    <w:uiPriority w:val="67"/>
    <w:semiHidden/>
    <w:rsid w:val="007F47C8"/>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1">
    <w:name w:val="Medium Grid 21"/>
    <w:basedOn w:val="TableauNormal"/>
    <w:uiPriority w:val="68"/>
    <w:semiHidden/>
    <w:rsid w:val="007F47C8"/>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Grillemoyenne2-Accent1">
    <w:name w:val="Medium Grid 2 Accent 1"/>
    <w:basedOn w:val="TableauNormal"/>
    <w:uiPriority w:val="68"/>
    <w:semiHidden/>
    <w:rsid w:val="007F47C8"/>
    <w:rPr>
      <w:color w:val="00000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Grillemoyenne2-Accent2">
    <w:name w:val="Medium Grid 2 Accent 2"/>
    <w:basedOn w:val="TableauNormal"/>
    <w:uiPriority w:val="68"/>
    <w:semiHidden/>
    <w:rsid w:val="007F47C8"/>
    <w:rPr>
      <w:color w:val="00000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Grillemoyenne2-Accent3">
    <w:name w:val="Medium Grid 2 Accent 3"/>
    <w:basedOn w:val="TableauNormal"/>
    <w:uiPriority w:val="68"/>
    <w:semiHidden/>
    <w:rsid w:val="007F47C8"/>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Grillemoyenne2-Accent4">
    <w:name w:val="Medium Grid 2 Accent 4"/>
    <w:basedOn w:val="TableauNormal"/>
    <w:uiPriority w:val="68"/>
    <w:semiHidden/>
    <w:rsid w:val="007F47C8"/>
    <w:rPr>
      <w:color w:val="00000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Grillemoyenne2-Accent5">
    <w:name w:val="Medium Grid 2 Accent 5"/>
    <w:basedOn w:val="TableauNormal"/>
    <w:uiPriority w:val="68"/>
    <w:semiHidden/>
    <w:rsid w:val="007F47C8"/>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Grillemoyenne2-Accent6">
    <w:name w:val="Medium Grid 2 Accent 6"/>
    <w:basedOn w:val="TableauNormal"/>
    <w:uiPriority w:val="68"/>
    <w:semiHidden/>
    <w:rsid w:val="007F47C8"/>
    <w:rPr>
      <w:color w:val="00000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1">
    <w:name w:val="Medium Grid 31"/>
    <w:basedOn w:val="TableauNormal"/>
    <w:uiPriority w:val="69"/>
    <w:semiHidden/>
    <w:rsid w:val="007F47C8"/>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Grillemoyenne3-Accent1">
    <w:name w:val="Medium Grid 3 Accent 1"/>
    <w:basedOn w:val="TableauNormal"/>
    <w:uiPriority w:val="69"/>
    <w:semiHidden/>
    <w:rsid w:val="007F47C8"/>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Grillemoyenne3-Accent2">
    <w:name w:val="Medium Grid 3 Accent 2"/>
    <w:basedOn w:val="TableauNormal"/>
    <w:uiPriority w:val="69"/>
    <w:semiHidden/>
    <w:rsid w:val="007F47C8"/>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Grillemoyenne3-Accent3">
    <w:name w:val="Medium Grid 3 Accent 3"/>
    <w:basedOn w:val="TableauNormal"/>
    <w:uiPriority w:val="69"/>
    <w:semiHidden/>
    <w:rsid w:val="007F47C8"/>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Grillemoyenne3-Accent4">
    <w:name w:val="Medium Grid 3 Accent 4"/>
    <w:basedOn w:val="TableauNormal"/>
    <w:uiPriority w:val="69"/>
    <w:semiHidden/>
    <w:rsid w:val="007F47C8"/>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Grillemoyenne3-Accent5">
    <w:name w:val="Medium Grid 3 Accent 5"/>
    <w:basedOn w:val="TableauNormal"/>
    <w:uiPriority w:val="69"/>
    <w:semiHidden/>
    <w:rsid w:val="007F47C8"/>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Grillemoyenne3-Accent6">
    <w:name w:val="Medium Grid 3 Accent 6"/>
    <w:basedOn w:val="TableauNormal"/>
    <w:uiPriority w:val="69"/>
    <w:semiHidden/>
    <w:rsid w:val="007F47C8"/>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1">
    <w:name w:val="Medium List 11"/>
    <w:basedOn w:val="TableauNormal"/>
    <w:uiPriority w:val="65"/>
    <w:semiHidden/>
    <w:rsid w:val="007F47C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auNormal"/>
    <w:uiPriority w:val="65"/>
    <w:semiHidden/>
    <w:rsid w:val="007F47C8"/>
    <w:rPr>
      <w:color w:val="00000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Listemoyenne1-Accent2">
    <w:name w:val="Medium List 1 Accent 2"/>
    <w:basedOn w:val="TableauNormal"/>
    <w:uiPriority w:val="65"/>
    <w:semiHidden/>
    <w:rsid w:val="007F47C8"/>
    <w:rPr>
      <w:color w:val="00000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Listemoyenne1-Accent3">
    <w:name w:val="Medium List 1 Accent 3"/>
    <w:basedOn w:val="TableauNormal"/>
    <w:uiPriority w:val="65"/>
    <w:semiHidden/>
    <w:rsid w:val="007F47C8"/>
    <w:rPr>
      <w:color w:val="00000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Listemoyenne1-Accent4">
    <w:name w:val="Medium List 1 Accent 4"/>
    <w:basedOn w:val="TableauNormal"/>
    <w:uiPriority w:val="65"/>
    <w:semiHidden/>
    <w:rsid w:val="007F47C8"/>
    <w:rPr>
      <w:color w:val="00000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Listemoyenne1-Accent5">
    <w:name w:val="Medium List 1 Accent 5"/>
    <w:basedOn w:val="TableauNormal"/>
    <w:uiPriority w:val="65"/>
    <w:semiHidden/>
    <w:rsid w:val="007F47C8"/>
    <w:rPr>
      <w:color w:val="00000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Listemoyenne1-Accent6">
    <w:name w:val="Medium List 1 Accent 6"/>
    <w:basedOn w:val="TableauNormal"/>
    <w:uiPriority w:val="65"/>
    <w:semiHidden/>
    <w:rsid w:val="007F47C8"/>
    <w:rPr>
      <w:color w:val="00000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1">
    <w:name w:val="Medium List 21"/>
    <w:basedOn w:val="TableauNormal"/>
    <w:uiPriority w:val="66"/>
    <w:semiHidden/>
    <w:rsid w:val="007F47C8"/>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Listemoyenne2-Accent1">
    <w:name w:val="Medium List 2 Accent 1"/>
    <w:basedOn w:val="TableauNormal"/>
    <w:uiPriority w:val="66"/>
    <w:semiHidden/>
    <w:rsid w:val="007F47C8"/>
    <w:rPr>
      <w:color w:val="00000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Listemoyenne2-Accent2">
    <w:name w:val="Medium List 2 Accent 2"/>
    <w:basedOn w:val="TableauNormal"/>
    <w:uiPriority w:val="66"/>
    <w:semiHidden/>
    <w:rsid w:val="007F47C8"/>
    <w:rPr>
      <w:color w:val="00000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Listemoyenne2-Accent3">
    <w:name w:val="Medium List 2 Accent 3"/>
    <w:basedOn w:val="TableauNormal"/>
    <w:uiPriority w:val="66"/>
    <w:semiHidden/>
    <w:rsid w:val="007F47C8"/>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Listemoyenne2-Accent4">
    <w:name w:val="Medium List 2 Accent 4"/>
    <w:basedOn w:val="TableauNormal"/>
    <w:uiPriority w:val="66"/>
    <w:semiHidden/>
    <w:rsid w:val="007F47C8"/>
    <w:rPr>
      <w:color w:val="00000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Listemoyenne2-Accent5">
    <w:name w:val="Medium List 2 Accent 5"/>
    <w:basedOn w:val="TableauNormal"/>
    <w:uiPriority w:val="66"/>
    <w:semiHidden/>
    <w:rsid w:val="007F47C8"/>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Listemoyenne2-Accent6">
    <w:name w:val="Medium List 2 Accent 6"/>
    <w:basedOn w:val="TableauNormal"/>
    <w:uiPriority w:val="66"/>
    <w:semiHidden/>
    <w:rsid w:val="007F47C8"/>
    <w:rPr>
      <w:color w:val="00000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1">
    <w:name w:val="Medium Shading 11"/>
    <w:basedOn w:val="TableauNormal"/>
    <w:uiPriority w:val="63"/>
    <w:semiHidden/>
    <w:rsid w:val="007F47C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auNormal"/>
    <w:uiPriority w:val="63"/>
    <w:semiHidden/>
    <w:rsid w:val="007F47C8"/>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rsid w:val="007F47C8"/>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rsid w:val="007F47C8"/>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rsid w:val="007F47C8"/>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rsid w:val="007F47C8"/>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rsid w:val="007F47C8"/>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1">
    <w:name w:val="Medium Shading 21"/>
    <w:basedOn w:val="TableauNormal"/>
    <w:uiPriority w:val="64"/>
    <w:semiHidden/>
    <w:rsid w:val="007F47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auNormal"/>
    <w:uiPriority w:val="64"/>
    <w:semiHidden/>
    <w:rsid w:val="007F47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semiHidden/>
    <w:rsid w:val="007F47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rsid w:val="007F47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rsid w:val="007F47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rsid w:val="007F47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rsid w:val="007F47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character" w:styleId="Textedelespacerserv">
    <w:name w:val="Placeholder Text"/>
    <w:uiPriority w:val="99"/>
    <w:semiHidden/>
    <w:rsid w:val="007F47C8"/>
    <w:rPr>
      <w:color w:val="808080"/>
    </w:rPr>
  </w:style>
  <w:style w:type="character" w:customStyle="1" w:styleId="wordhighlighted">
    <w:name w:val="wordhighlighted"/>
    <w:basedOn w:val="Policepardfaut"/>
    <w:rsid w:val="005D45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iPriority="99" w:unhideWhenUsed="0" w:qFormat="1"/>
    <w:lsdException w:name="heading 6" w:semiHidden="0" w:unhideWhenUsed="0"/>
    <w:lsdException w:name="heading 7" w:uiPriority="99" w:qFormat="1"/>
    <w:lsdException w:name="heading 8" w:uiPriority="99" w:qFormat="1"/>
    <w:lsdException w:name="heading 9" w:uiPriority="99" w:qFormat="1"/>
    <w:lsdException w:name="caption"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semiHidden/>
    <w:qFormat/>
    <w:rsid w:val="00CB3CDE"/>
    <w:pPr>
      <w:suppressAutoHyphens/>
    </w:pPr>
    <w:rPr>
      <w:sz w:val="24"/>
      <w:szCs w:val="22"/>
      <w:lang w:eastAsia="fr-FR"/>
    </w:rPr>
  </w:style>
  <w:style w:type="paragraph" w:styleId="Titre1">
    <w:name w:val="heading 1"/>
    <w:basedOn w:val="Normal"/>
    <w:next w:val="Normal"/>
    <w:semiHidden/>
    <w:rsid w:val="00CB3CDE"/>
    <w:pPr>
      <w:keepNext/>
      <w:numPr>
        <w:numId w:val="23"/>
      </w:numPr>
      <w:spacing w:before="360" w:after="240"/>
      <w:jc w:val="center"/>
      <w:outlineLvl w:val="0"/>
    </w:pPr>
    <w:rPr>
      <w:b/>
      <w:sz w:val="28"/>
    </w:rPr>
  </w:style>
  <w:style w:type="paragraph" w:styleId="Titre2">
    <w:name w:val="heading 2"/>
    <w:basedOn w:val="Normal"/>
    <w:next w:val="Normal"/>
    <w:semiHidden/>
    <w:rsid w:val="00CB3CDE"/>
    <w:pPr>
      <w:keepNext/>
      <w:numPr>
        <w:ilvl w:val="1"/>
        <w:numId w:val="23"/>
      </w:numPr>
      <w:spacing w:before="240" w:after="120"/>
      <w:outlineLvl w:val="1"/>
    </w:pPr>
    <w:rPr>
      <w:b/>
    </w:rPr>
  </w:style>
  <w:style w:type="paragraph" w:styleId="Titre3">
    <w:name w:val="heading 3"/>
    <w:basedOn w:val="Normal"/>
    <w:next w:val="Normal"/>
    <w:semiHidden/>
    <w:rsid w:val="00CB3CDE"/>
    <w:pPr>
      <w:keepNext/>
      <w:numPr>
        <w:ilvl w:val="2"/>
        <w:numId w:val="23"/>
      </w:numPr>
      <w:spacing w:before="120" w:after="60"/>
      <w:outlineLvl w:val="2"/>
    </w:pPr>
    <w:rPr>
      <w:i/>
    </w:rPr>
  </w:style>
  <w:style w:type="paragraph" w:styleId="Titre4">
    <w:name w:val="heading 4"/>
    <w:basedOn w:val="Normal"/>
    <w:next w:val="Normal"/>
    <w:semiHidden/>
    <w:rsid w:val="00CB3CDE"/>
    <w:pPr>
      <w:keepNext/>
      <w:numPr>
        <w:ilvl w:val="3"/>
        <w:numId w:val="23"/>
      </w:numPr>
      <w:spacing w:before="240" w:after="60"/>
      <w:outlineLvl w:val="3"/>
    </w:pPr>
    <w:rPr>
      <w:b/>
      <w:bCs/>
      <w:sz w:val="28"/>
      <w:szCs w:val="28"/>
    </w:rPr>
  </w:style>
  <w:style w:type="paragraph" w:styleId="Titre5">
    <w:name w:val="heading 5"/>
    <w:basedOn w:val="Normal"/>
    <w:next w:val="Normal"/>
    <w:link w:val="Titre5Car"/>
    <w:uiPriority w:val="99"/>
    <w:semiHidden/>
    <w:qFormat/>
    <w:rsid w:val="007F47C8"/>
    <w:pPr>
      <w:suppressAutoHyphens w:val="0"/>
      <w:spacing w:before="200"/>
      <w:jc w:val="both"/>
      <w:outlineLvl w:val="4"/>
    </w:pPr>
    <w:rPr>
      <w:b/>
      <w:bCs/>
      <w:color w:val="808080"/>
      <w:sz w:val="22"/>
      <w:lang w:eastAsia="en-GB"/>
    </w:rPr>
  </w:style>
  <w:style w:type="paragraph" w:styleId="Titre6">
    <w:name w:val="heading 6"/>
    <w:basedOn w:val="Normal"/>
    <w:next w:val="Normal"/>
    <w:semiHidden/>
    <w:rsid w:val="00CB3CDE"/>
    <w:pPr>
      <w:numPr>
        <w:ilvl w:val="5"/>
        <w:numId w:val="23"/>
      </w:numPr>
      <w:spacing w:before="240" w:after="60"/>
      <w:outlineLvl w:val="5"/>
    </w:pPr>
    <w:rPr>
      <w:b/>
      <w:bCs/>
      <w:sz w:val="22"/>
    </w:rPr>
  </w:style>
  <w:style w:type="paragraph" w:styleId="Titre7">
    <w:name w:val="heading 7"/>
    <w:basedOn w:val="Normal"/>
    <w:next w:val="Normal"/>
    <w:link w:val="Titre7Car"/>
    <w:uiPriority w:val="99"/>
    <w:semiHidden/>
    <w:qFormat/>
    <w:rsid w:val="007F47C8"/>
    <w:pPr>
      <w:suppressAutoHyphens w:val="0"/>
      <w:jc w:val="both"/>
      <w:outlineLvl w:val="6"/>
    </w:pPr>
    <w:rPr>
      <w:i/>
      <w:iCs/>
      <w:sz w:val="22"/>
      <w:lang w:eastAsia="en-GB" w:bidi="en-US"/>
    </w:rPr>
  </w:style>
  <w:style w:type="paragraph" w:styleId="Titre8">
    <w:name w:val="heading 8"/>
    <w:basedOn w:val="Normal"/>
    <w:next w:val="Normal"/>
    <w:link w:val="Titre8Car"/>
    <w:uiPriority w:val="99"/>
    <w:semiHidden/>
    <w:qFormat/>
    <w:rsid w:val="007F47C8"/>
    <w:pPr>
      <w:suppressAutoHyphens w:val="0"/>
      <w:jc w:val="both"/>
      <w:outlineLvl w:val="7"/>
    </w:pPr>
    <w:rPr>
      <w:sz w:val="20"/>
      <w:szCs w:val="20"/>
      <w:lang w:eastAsia="en-GB" w:bidi="en-US"/>
    </w:rPr>
  </w:style>
  <w:style w:type="paragraph" w:styleId="Titre9">
    <w:name w:val="heading 9"/>
    <w:basedOn w:val="Normal"/>
    <w:next w:val="Normal"/>
    <w:link w:val="Titre9Car"/>
    <w:uiPriority w:val="99"/>
    <w:semiHidden/>
    <w:qFormat/>
    <w:rsid w:val="007F47C8"/>
    <w:pPr>
      <w:suppressAutoHyphens w:val="0"/>
      <w:jc w:val="both"/>
      <w:outlineLvl w:val="8"/>
    </w:pPr>
    <w:rPr>
      <w:i/>
      <w:iCs/>
      <w:spacing w:val="5"/>
      <w:sz w:val="20"/>
      <w:szCs w:val="20"/>
      <w:lang w:eastAsia="en-GB"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HRHeading1">
    <w:name w:val="ECHR_Heading_1"/>
    <w:aliases w:val="Ju_H_I_Roman"/>
    <w:basedOn w:val="Titre1"/>
    <w:next w:val="JuPara"/>
    <w:uiPriority w:val="19"/>
    <w:qFormat/>
    <w:rsid w:val="007F47C8"/>
    <w:pPr>
      <w:keepLines/>
      <w:numPr>
        <w:numId w:val="0"/>
      </w:numPr>
      <w:tabs>
        <w:tab w:val="left" w:pos="357"/>
      </w:tabs>
      <w:suppressAutoHyphens w:val="0"/>
      <w:ind w:left="357" w:hanging="357"/>
      <w:jc w:val="both"/>
    </w:pPr>
    <w:rPr>
      <w:b w:val="0"/>
      <w:bCs/>
      <w:sz w:val="24"/>
      <w:szCs w:val="28"/>
      <w:lang w:eastAsia="en-GB"/>
    </w:rPr>
  </w:style>
  <w:style w:type="paragraph" w:customStyle="1" w:styleId="ECHRTitle1">
    <w:name w:val="ECHR_Title_1"/>
    <w:aliases w:val="Ju_H_Head"/>
    <w:basedOn w:val="Normal"/>
    <w:next w:val="JuPara"/>
    <w:uiPriority w:val="18"/>
    <w:qFormat/>
    <w:rsid w:val="007F47C8"/>
    <w:pPr>
      <w:keepNext/>
      <w:keepLines/>
      <w:suppressAutoHyphens w:val="0"/>
      <w:spacing w:before="720" w:after="240"/>
      <w:jc w:val="both"/>
      <w:outlineLvl w:val="0"/>
    </w:pPr>
    <w:rPr>
      <w:sz w:val="28"/>
      <w:lang w:eastAsia="en-GB"/>
    </w:rPr>
  </w:style>
  <w:style w:type="paragraph" w:customStyle="1" w:styleId="JuPara">
    <w:name w:val="Ju_Para"/>
    <w:aliases w:val="Left,First line:  0 cm,ECHR_Para,Para"/>
    <w:basedOn w:val="Normal"/>
    <w:link w:val="JuParaChar"/>
    <w:uiPriority w:val="12"/>
    <w:qFormat/>
    <w:rsid w:val="007F47C8"/>
    <w:pPr>
      <w:suppressAutoHyphens w:val="0"/>
      <w:ind w:firstLine="284"/>
      <w:jc w:val="both"/>
    </w:pPr>
    <w:rPr>
      <w:lang w:eastAsia="en-GB"/>
    </w:rPr>
  </w:style>
  <w:style w:type="character" w:customStyle="1" w:styleId="JuParaChar">
    <w:name w:val="Ju_Para Char"/>
    <w:link w:val="JuPara"/>
    <w:uiPriority w:val="12"/>
    <w:rsid w:val="00B921A8"/>
    <w:rPr>
      <w:rFonts w:eastAsia="Times New Roman"/>
      <w:sz w:val="24"/>
    </w:rPr>
  </w:style>
  <w:style w:type="paragraph" w:styleId="Pieddepage">
    <w:name w:val="footer"/>
    <w:basedOn w:val="NormalTimesNewRoman"/>
    <w:semiHidden/>
    <w:rsid w:val="00CB3CDE"/>
    <w:pPr>
      <w:tabs>
        <w:tab w:val="center" w:pos="3686"/>
        <w:tab w:val="right" w:pos="7371"/>
      </w:tabs>
    </w:pPr>
    <w:rPr>
      <w:sz w:val="18"/>
    </w:rPr>
  </w:style>
  <w:style w:type="paragraph" w:customStyle="1" w:styleId="ECHRDecisionBody">
    <w:name w:val="ECHR_Decision_Body"/>
    <w:aliases w:val="Ju_Judges"/>
    <w:basedOn w:val="Normal"/>
    <w:link w:val="JuJudgesChar"/>
    <w:uiPriority w:val="11"/>
    <w:qFormat/>
    <w:rsid w:val="007F47C8"/>
    <w:pPr>
      <w:tabs>
        <w:tab w:val="left" w:pos="567"/>
        <w:tab w:val="left" w:pos="1134"/>
      </w:tabs>
      <w:suppressAutoHyphens w:val="0"/>
    </w:pPr>
    <w:rPr>
      <w:lang w:eastAsia="en-GB"/>
    </w:rPr>
  </w:style>
  <w:style w:type="character" w:customStyle="1" w:styleId="JuJudgesChar">
    <w:name w:val="Ju_Judges Char"/>
    <w:link w:val="ECHRDecisionBody"/>
    <w:uiPriority w:val="11"/>
    <w:locked/>
    <w:rsid w:val="00D15473"/>
    <w:rPr>
      <w:rFonts w:eastAsia="Times New Roman"/>
      <w:sz w:val="24"/>
    </w:rPr>
  </w:style>
  <w:style w:type="paragraph" w:customStyle="1" w:styleId="ECHRHeading2">
    <w:name w:val="ECHR_Heading_2"/>
    <w:aliases w:val="Ju_H_A"/>
    <w:basedOn w:val="Titre2"/>
    <w:next w:val="JuPara"/>
    <w:uiPriority w:val="20"/>
    <w:qFormat/>
    <w:rsid w:val="007F47C8"/>
    <w:pPr>
      <w:keepLines/>
      <w:numPr>
        <w:ilvl w:val="0"/>
        <w:numId w:val="0"/>
      </w:numPr>
      <w:tabs>
        <w:tab w:val="left" w:pos="584"/>
      </w:tabs>
      <w:suppressAutoHyphens w:val="0"/>
      <w:spacing w:before="360" w:after="240"/>
      <w:ind w:left="584" w:hanging="352"/>
      <w:jc w:val="both"/>
    </w:pPr>
    <w:rPr>
      <w:bCs/>
      <w:szCs w:val="26"/>
      <w:lang w:eastAsia="en-GB"/>
    </w:rPr>
  </w:style>
  <w:style w:type="paragraph" w:customStyle="1" w:styleId="ECHRParaQuote">
    <w:name w:val="ECHR_Para_Quote"/>
    <w:aliases w:val="Ju_Quot"/>
    <w:basedOn w:val="Normal"/>
    <w:link w:val="JuQuotChar"/>
    <w:uiPriority w:val="14"/>
    <w:qFormat/>
    <w:rsid w:val="007F47C8"/>
    <w:pPr>
      <w:suppressAutoHyphens w:val="0"/>
      <w:spacing w:before="120" w:after="120"/>
      <w:ind w:left="425" w:firstLine="142"/>
      <w:jc w:val="both"/>
    </w:pPr>
    <w:rPr>
      <w:sz w:val="20"/>
      <w:lang w:eastAsia="en-GB"/>
    </w:rPr>
  </w:style>
  <w:style w:type="paragraph" w:customStyle="1" w:styleId="JuSigned">
    <w:name w:val="Ju_Signed"/>
    <w:basedOn w:val="Normal"/>
    <w:next w:val="JuParaLast"/>
    <w:link w:val="JuSignedChar"/>
    <w:uiPriority w:val="32"/>
    <w:qFormat/>
    <w:rsid w:val="007F47C8"/>
    <w:pPr>
      <w:tabs>
        <w:tab w:val="center" w:pos="851"/>
        <w:tab w:val="center" w:pos="6407"/>
      </w:tabs>
      <w:suppressAutoHyphens w:val="0"/>
      <w:spacing w:before="720"/>
    </w:pPr>
    <w:rPr>
      <w:lang w:eastAsia="en-GB"/>
    </w:rPr>
  </w:style>
  <w:style w:type="paragraph" w:customStyle="1" w:styleId="JuParaLast">
    <w:name w:val="Ju_Para_Last"/>
    <w:basedOn w:val="Normal"/>
    <w:next w:val="JuPara"/>
    <w:qFormat/>
    <w:rsid w:val="007F47C8"/>
    <w:pPr>
      <w:keepNext/>
      <w:keepLines/>
      <w:suppressAutoHyphens w:val="0"/>
      <w:spacing w:before="240"/>
      <w:ind w:firstLine="284"/>
      <w:jc w:val="both"/>
    </w:pPr>
    <w:rPr>
      <w:lang w:eastAsia="en-GB"/>
    </w:rPr>
  </w:style>
  <w:style w:type="character" w:customStyle="1" w:styleId="JuSignedChar">
    <w:name w:val="Ju_Signed Char"/>
    <w:link w:val="JuSigned"/>
    <w:uiPriority w:val="32"/>
    <w:rsid w:val="000726F6"/>
    <w:rPr>
      <w:rFonts w:eastAsia="Times New Roman"/>
      <w:sz w:val="24"/>
    </w:rPr>
  </w:style>
  <w:style w:type="paragraph" w:customStyle="1" w:styleId="JuCase">
    <w:name w:val="Ju_Case"/>
    <w:basedOn w:val="JuPara"/>
    <w:next w:val="JuPara"/>
    <w:link w:val="JuCaseChar"/>
    <w:rsid w:val="00CB3CDE"/>
    <w:rPr>
      <w:b/>
    </w:rPr>
  </w:style>
  <w:style w:type="character" w:customStyle="1" w:styleId="JuCaseChar">
    <w:name w:val="Ju_Case Char"/>
    <w:link w:val="JuCase"/>
    <w:rsid w:val="00B921A8"/>
    <w:rPr>
      <w:b/>
      <w:sz w:val="24"/>
      <w:lang w:val="en-GB" w:eastAsia="fr-FR"/>
    </w:rPr>
  </w:style>
  <w:style w:type="paragraph" w:customStyle="1" w:styleId="JuList">
    <w:name w:val="Ju_List"/>
    <w:basedOn w:val="Normal"/>
    <w:link w:val="JuListChar"/>
    <w:uiPriority w:val="28"/>
    <w:qFormat/>
    <w:rsid w:val="007F47C8"/>
    <w:pPr>
      <w:suppressAutoHyphens w:val="0"/>
      <w:ind w:left="340" w:hanging="340"/>
      <w:jc w:val="both"/>
    </w:pPr>
    <w:rPr>
      <w:lang w:eastAsia="en-GB"/>
    </w:rPr>
  </w:style>
  <w:style w:type="character" w:customStyle="1" w:styleId="JuListChar">
    <w:name w:val="Ju_List Char"/>
    <w:link w:val="JuList"/>
    <w:uiPriority w:val="28"/>
    <w:rsid w:val="00930CD7"/>
    <w:rPr>
      <w:rFonts w:eastAsia="Times New Roman"/>
      <w:sz w:val="24"/>
    </w:rPr>
  </w:style>
  <w:style w:type="paragraph" w:customStyle="1" w:styleId="JuCourt">
    <w:name w:val="Ju_Court"/>
    <w:basedOn w:val="Normal"/>
    <w:next w:val="Normal"/>
    <w:uiPriority w:val="16"/>
    <w:qFormat/>
    <w:rsid w:val="007F47C8"/>
    <w:pPr>
      <w:tabs>
        <w:tab w:val="left" w:pos="907"/>
        <w:tab w:val="left" w:pos="1701"/>
        <w:tab w:val="right" w:pos="7371"/>
      </w:tabs>
      <w:suppressAutoHyphens w:val="0"/>
      <w:spacing w:before="240"/>
      <w:ind w:left="397" w:hanging="397"/>
    </w:pPr>
    <w:rPr>
      <w:lang w:eastAsia="en-GB" w:bidi="en-US"/>
    </w:rPr>
  </w:style>
  <w:style w:type="paragraph" w:styleId="Notedebasdepage">
    <w:name w:val="footnote text"/>
    <w:basedOn w:val="Normal"/>
    <w:semiHidden/>
    <w:rsid w:val="00CB3CDE"/>
    <w:pPr>
      <w:jc w:val="both"/>
    </w:pPr>
    <w:rPr>
      <w:sz w:val="20"/>
    </w:rPr>
  </w:style>
  <w:style w:type="character" w:styleId="Marquenotebasdepage">
    <w:name w:val="footnote reference"/>
    <w:semiHidden/>
    <w:rsid w:val="00CB3CDE"/>
    <w:rPr>
      <w:vertAlign w:val="superscript"/>
    </w:rPr>
  </w:style>
  <w:style w:type="paragraph" w:styleId="En-tte">
    <w:name w:val="header"/>
    <w:basedOn w:val="NormalTimesNewRoman"/>
    <w:semiHidden/>
    <w:rsid w:val="00CB3CDE"/>
    <w:pPr>
      <w:tabs>
        <w:tab w:val="center" w:pos="3686"/>
        <w:tab w:val="right" w:pos="7371"/>
      </w:tabs>
    </w:pPr>
    <w:rPr>
      <w:sz w:val="18"/>
    </w:rPr>
  </w:style>
  <w:style w:type="character" w:styleId="Numrodepage">
    <w:name w:val="page number"/>
    <w:semiHidden/>
    <w:rsid w:val="00CB3CDE"/>
    <w:rPr>
      <w:sz w:val="18"/>
    </w:rPr>
  </w:style>
  <w:style w:type="paragraph" w:customStyle="1" w:styleId="JuLista">
    <w:name w:val="Ju_List_a"/>
    <w:basedOn w:val="JuList"/>
    <w:uiPriority w:val="28"/>
    <w:qFormat/>
    <w:rsid w:val="007F47C8"/>
    <w:pPr>
      <w:ind w:left="346" w:firstLine="0"/>
    </w:pPr>
  </w:style>
  <w:style w:type="paragraph" w:customStyle="1" w:styleId="JuListi">
    <w:name w:val="Ju_List_i"/>
    <w:basedOn w:val="Normal"/>
    <w:next w:val="JuLista"/>
    <w:uiPriority w:val="28"/>
    <w:qFormat/>
    <w:rsid w:val="007F47C8"/>
    <w:pPr>
      <w:suppressAutoHyphens w:val="0"/>
      <w:ind w:left="794"/>
      <w:jc w:val="both"/>
    </w:pPr>
    <w:rPr>
      <w:lang w:eastAsia="en-GB"/>
    </w:rPr>
  </w:style>
  <w:style w:type="character" w:styleId="Marquedannotation">
    <w:name w:val="annotation reference"/>
    <w:semiHidden/>
    <w:rsid w:val="00CB3CDE"/>
    <w:rPr>
      <w:sz w:val="16"/>
      <w:szCs w:val="16"/>
    </w:rPr>
  </w:style>
  <w:style w:type="paragraph" w:styleId="Commentaire">
    <w:name w:val="annotation text"/>
    <w:basedOn w:val="Normal"/>
    <w:semiHidden/>
    <w:rsid w:val="00CB3CDE"/>
    <w:rPr>
      <w:sz w:val="20"/>
    </w:rPr>
  </w:style>
  <w:style w:type="paragraph" w:styleId="Textedebulles">
    <w:name w:val="Balloon Text"/>
    <w:basedOn w:val="Normal"/>
    <w:semiHidden/>
    <w:rsid w:val="00CB3CDE"/>
    <w:rPr>
      <w:rFonts w:ascii="Tahoma" w:hAnsi="Tahoma" w:cs="Tahoma"/>
      <w:sz w:val="16"/>
      <w:szCs w:val="16"/>
    </w:rPr>
  </w:style>
  <w:style w:type="paragraph" w:styleId="Objetducommentaire">
    <w:name w:val="annotation subject"/>
    <w:basedOn w:val="Commentaire"/>
    <w:next w:val="Commentaire"/>
    <w:semiHidden/>
    <w:rsid w:val="00CB3CDE"/>
    <w:rPr>
      <w:b/>
      <w:bCs/>
    </w:rPr>
  </w:style>
  <w:style w:type="character" w:styleId="Marquedenotedefin">
    <w:name w:val="endnote reference"/>
    <w:semiHidden/>
    <w:rsid w:val="00CB3CDE"/>
    <w:rPr>
      <w:vertAlign w:val="superscript"/>
    </w:rPr>
  </w:style>
  <w:style w:type="paragraph" w:styleId="Notedefin">
    <w:name w:val="endnote text"/>
    <w:basedOn w:val="Normal"/>
    <w:semiHidden/>
    <w:rsid w:val="00CB3CDE"/>
    <w:rPr>
      <w:sz w:val="20"/>
    </w:rPr>
  </w:style>
  <w:style w:type="character" w:styleId="Lienhypertextesuivi">
    <w:name w:val="FollowedHyperlink"/>
    <w:semiHidden/>
    <w:rsid w:val="00CB3CDE"/>
    <w:rPr>
      <w:color w:val="800080"/>
      <w:u w:val="single"/>
    </w:rPr>
  </w:style>
  <w:style w:type="character" w:styleId="Lienhypertexte">
    <w:name w:val="Hyperlink"/>
    <w:semiHidden/>
    <w:rsid w:val="00CB3CDE"/>
    <w:rPr>
      <w:color w:val="0000FF"/>
      <w:u w:val="single"/>
    </w:rPr>
  </w:style>
  <w:style w:type="character" w:styleId="lev">
    <w:name w:val="Strong"/>
    <w:uiPriority w:val="99"/>
    <w:semiHidden/>
    <w:qFormat/>
    <w:rsid w:val="007F47C8"/>
    <w:rPr>
      <w:b/>
      <w:bCs/>
    </w:rPr>
  </w:style>
  <w:style w:type="paragraph" w:styleId="Explorateurdedocument">
    <w:name w:val="Document Map"/>
    <w:basedOn w:val="Normal"/>
    <w:semiHidden/>
    <w:rsid w:val="00CB3CDE"/>
    <w:pPr>
      <w:shd w:val="clear" w:color="auto" w:fill="000080"/>
    </w:pPr>
    <w:rPr>
      <w:rFonts w:ascii="Tahoma" w:hAnsi="Tahoma" w:cs="Tahoma"/>
      <w:sz w:val="20"/>
    </w:rPr>
  </w:style>
  <w:style w:type="character" w:customStyle="1" w:styleId="JuNames">
    <w:name w:val="Ju_Names"/>
    <w:rsid w:val="00CB3CDE"/>
    <w:rPr>
      <w:smallCaps/>
    </w:rPr>
  </w:style>
  <w:style w:type="paragraph" w:styleId="Listepuces">
    <w:name w:val="List Bullet"/>
    <w:basedOn w:val="NormalTimesNewRoman"/>
    <w:semiHidden/>
    <w:rsid w:val="00CB3CDE"/>
    <w:pPr>
      <w:numPr>
        <w:numId w:val="24"/>
      </w:numPr>
    </w:pPr>
  </w:style>
  <w:style w:type="character" w:customStyle="1" w:styleId="JuITMark">
    <w:name w:val="Ju_ITMark"/>
    <w:uiPriority w:val="38"/>
    <w:qFormat/>
    <w:rsid w:val="007F47C8"/>
    <w:rPr>
      <w:vanish w:val="0"/>
      <w:color w:val="auto"/>
      <w:sz w:val="14"/>
    </w:rPr>
  </w:style>
  <w:style w:type="paragraph" w:customStyle="1" w:styleId="ECHRHeader">
    <w:name w:val="ECHR_Header"/>
    <w:aliases w:val="Ju_Header"/>
    <w:basedOn w:val="En-tte"/>
    <w:uiPriority w:val="4"/>
    <w:qFormat/>
    <w:rsid w:val="007F47C8"/>
    <w:rPr>
      <w:lang w:eastAsia="en-GB"/>
    </w:rPr>
  </w:style>
  <w:style w:type="character" w:customStyle="1" w:styleId="sb8d990e2">
    <w:name w:val="sb8d990e2"/>
    <w:rsid w:val="00147E34"/>
  </w:style>
  <w:style w:type="character" w:customStyle="1" w:styleId="JuParaCar">
    <w:name w:val="Ju_Para Car"/>
    <w:uiPriority w:val="12"/>
    <w:rsid w:val="00491FF5"/>
    <w:rPr>
      <w:sz w:val="24"/>
      <w:lang w:val="en-GB" w:eastAsia="fr-FR" w:bidi="ar-SA"/>
    </w:rPr>
  </w:style>
  <w:style w:type="paragraph" w:customStyle="1" w:styleId="ECHRHeading4">
    <w:name w:val="ECHR_Heading_4"/>
    <w:aliases w:val="Ju_H_a"/>
    <w:basedOn w:val="Titre4"/>
    <w:next w:val="JuPara"/>
    <w:uiPriority w:val="22"/>
    <w:qFormat/>
    <w:rsid w:val="007F47C8"/>
    <w:pPr>
      <w:keepLines/>
      <w:numPr>
        <w:ilvl w:val="0"/>
        <w:numId w:val="0"/>
      </w:numPr>
      <w:tabs>
        <w:tab w:val="left" w:pos="975"/>
      </w:tabs>
      <w:suppressAutoHyphens w:val="0"/>
      <w:spacing w:after="120"/>
      <w:ind w:left="975" w:hanging="340"/>
      <w:jc w:val="both"/>
    </w:pPr>
    <w:rPr>
      <w:iCs/>
      <w:sz w:val="20"/>
      <w:szCs w:val="22"/>
      <w:lang w:eastAsia="en-GB"/>
    </w:rPr>
  </w:style>
  <w:style w:type="paragraph" w:customStyle="1" w:styleId="ECHRHeading3">
    <w:name w:val="ECHR_Heading_3"/>
    <w:aliases w:val="Ju_H_1."/>
    <w:basedOn w:val="Titre3"/>
    <w:next w:val="JuPara"/>
    <w:uiPriority w:val="21"/>
    <w:qFormat/>
    <w:rsid w:val="007F47C8"/>
    <w:pPr>
      <w:keepLines/>
      <w:numPr>
        <w:ilvl w:val="0"/>
        <w:numId w:val="0"/>
      </w:numPr>
      <w:tabs>
        <w:tab w:val="left" w:pos="731"/>
      </w:tabs>
      <w:suppressAutoHyphens w:val="0"/>
      <w:spacing w:before="240" w:after="120"/>
      <w:ind w:left="732" w:hanging="301"/>
      <w:jc w:val="both"/>
    </w:pPr>
    <w:rPr>
      <w:bCs/>
      <w:lang w:eastAsia="en-GB"/>
    </w:rPr>
  </w:style>
  <w:style w:type="character" w:customStyle="1" w:styleId="JuQuotChar">
    <w:name w:val="Ju_Quot Char"/>
    <w:link w:val="ECHRParaQuote"/>
    <w:uiPriority w:val="14"/>
    <w:rsid w:val="00491FF5"/>
    <w:rPr>
      <w:rFonts w:eastAsia="Times New Roman"/>
      <w:sz w:val="20"/>
      <w:lang w:val="en-GB" w:eastAsia="fr-FR" w:bidi="ar-SA"/>
    </w:rPr>
  </w:style>
  <w:style w:type="paragraph" w:customStyle="1" w:styleId="NormalTimesNewRoman">
    <w:name w:val="Normal_TimesNewRoman"/>
    <w:rsid w:val="00CB3CDE"/>
    <w:rPr>
      <w:sz w:val="24"/>
      <w:szCs w:val="22"/>
      <w:lang w:eastAsia="fr-FR"/>
    </w:rPr>
  </w:style>
  <w:style w:type="character" w:customStyle="1" w:styleId="DefaultTimesNewRoman">
    <w:name w:val="Default_TimesNewRoman"/>
    <w:rsid w:val="00CB3CDE"/>
    <w:rPr>
      <w:rFonts w:ascii="Times New Roman" w:hAnsi="Times New Roman"/>
    </w:rPr>
  </w:style>
  <w:style w:type="paragraph" w:customStyle="1" w:styleId="DecHCase">
    <w:name w:val="Dec_H_Case"/>
    <w:basedOn w:val="DecHTitle"/>
    <w:next w:val="JuPara"/>
    <w:rsid w:val="00CB3CDE"/>
    <w:rPr>
      <w:sz w:val="24"/>
    </w:rPr>
  </w:style>
  <w:style w:type="paragraph" w:customStyle="1" w:styleId="DecHTitle">
    <w:name w:val="Dec_H_Title"/>
    <w:basedOn w:val="NormalTimesNewRoman"/>
    <w:rsid w:val="00CB3CDE"/>
    <w:pPr>
      <w:spacing w:after="240"/>
      <w:jc w:val="center"/>
      <w:outlineLvl w:val="0"/>
    </w:pPr>
    <w:rPr>
      <w:sz w:val="28"/>
    </w:rPr>
  </w:style>
  <w:style w:type="paragraph" w:customStyle="1" w:styleId="DecList">
    <w:name w:val="Dec_List"/>
    <w:basedOn w:val="NormalTimesNewRoman"/>
    <w:rsid w:val="00CB3CDE"/>
    <w:pPr>
      <w:spacing w:before="240"/>
      <w:ind w:left="284"/>
      <w:jc w:val="both"/>
    </w:pPr>
  </w:style>
  <w:style w:type="paragraph" w:customStyle="1" w:styleId="JuAppQuestion">
    <w:name w:val="Ju_App_Question"/>
    <w:basedOn w:val="Listepuces"/>
    <w:rsid w:val="00CB3CDE"/>
    <w:pPr>
      <w:numPr>
        <w:numId w:val="25"/>
      </w:numPr>
    </w:pPr>
    <w:rPr>
      <w:b/>
      <w:color w:val="333333"/>
    </w:rPr>
  </w:style>
  <w:style w:type="paragraph" w:customStyle="1" w:styleId="ECHRHeading7">
    <w:name w:val="ECHR_Heading_7"/>
    <w:aliases w:val="Ju_H_–"/>
    <w:basedOn w:val="Titre7"/>
    <w:next w:val="JuPara"/>
    <w:uiPriority w:val="25"/>
    <w:qFormat/>
    <w:rsid w:val="007F47C8"/>
    <w:pPr>
      <w:keepNext/>
      <w:keepLines/>
      <w:spacing w:before="240" w:after="120"/>
      <w:ind w:left="1236"/>
    </w:pPr>
    <w:rPr>
      <w:sz w:val="20"/>
    </w:rPr>
  </w:style>
  <w:style w:type="paragraph" w:customStyle="1" w:styleId="ECHRHeading6">
    <w:name w:val="ECHR_Heading_6"/>
    <w:aliases w:val="Ju_H_alpha"/>
    <w:basedOn w:val="Titre6"/>
    <w:next w:val="JuPara"/>
    <w:uiPriority w:val="24"/>
    <w:qFormat/>
    <w:rsid w:val="007F47C8"/>
    <w:pPr>
      <w:keepNext/>
      <w:keepLines/>
      <w:numPr>
        <w:ilvl w:val="0"/>
        <w:numId w:val="0"/>
      </w:numPr>
      <w:tabs>
        <w:tab w:val="left" w:pos="1372"/>
      </w:tabs>
      <w:suppressAutoHyphens w:val="0"/>
      <w:spacing w:after="120"/>
      <w:ind w:left="1373" w:hanging="335"/>
      <w:jc w:val="both"/>
    </w:pPr>
    <w:rPr>
      <w:b w:val="0"/>
      <w:i/>
      <w:iCs/>
      <w:sz w:val="20"/>
      <w:lang w:eastAsia="en-GB" w:bidi="en-US"/>
    </w:rPr>
  </w:style>
  <w:style w:type="paragraph" w:customStyle="1" w:styleId="ECHRTitleCentre3">
    <w:name w:val="ECHR_Title_Centre_3"/>
    <w:aliases w:val="Ju_H_Article"/>
    <w:basedOn w:val="Normal"/>
    <w:next w:val="ECHRParaQuote"/>
    <w:uiPriority w:val="27"/>
    <w:qFormat/>
    <w:rsid w:val="007F47C8"/>
    <w:pPr>
      <w:keepNext/>
      <w:keepLines/>
      <w:suppressAutoHyphens w:val="0"/>
      <w:spacing w:before="240" w:after="120"/>
      <w:jc w:val="center"/>
      <w:outlineLvl w:val="3"/>
    </w:pPr>
    <w:rPr>
      <w:b/>
      <w:sz w:val="20"/>
      <w:lang w:eastAsia="en-GB" w:bidi="en-US"/>
    </w:rPr>
  </w:style>
  <w:style w:type="paragraph" w:customStyle="1" w:styleId="JuHi1">
    <w:name w:val="Ju_H_i1"/>
    <w:basedOn w:val="ECHRHeading4"/>
    <w:next w:val="JuPara"/>
    <w:rsid w:val="00CB3CDE"/>
    <w:pPr>
      <w:tabs>
        <w:tab w:val="clear" w:pos="975"/>
        <w:tab w:val="left" w:pos="1191"/>
      </w:tabs>
      <w:ind w:left="1190" w:hanging="357"/>
      <w:outlineLvl w:val="5"/>
    </w:pPr>
    <w:rPr>
      <w:b w:val="0"/>
      <w:i/>
    </w:rPr>
  </w:style>
  <w:style w:type="paragraph" w:customStyle="1" w:styleId="JuInitialled">
    <w:name w:val="Ju_Initialled"/>
    <w:basedOn w:val="Normal"/>
    <w:qFormat/>
    <w:rsid w:val="007F47C8"/>
    <w:pPr>
      <w:tabs>
        <w:tab w:val="center" w:pos="6407"/>
      </w:tabs>
      <w:suppressAutoHyphens w:val="0"/>
      <w:spacing w:before="720"/>
      <w:jc w:val="right"/>
    </w:pPr>
    <w:rPr>
      <w:lang w:eastAsia="en-GB"/>
    </w:rPr>
  </w:style>
  <w:style w:type="paragraph" w:customStyle="1" w:styleId="JuParaSub">
    <w:name w:val="Ju_Para_Sub"/>
    <w:basedOn w:val="JuPara"/>
    <w:uiPriority w:val="13"/>
    <w:qFormat/>
    <w:rsid w:val="007F47C8"/>
    <w:pPr>
      <w:ind w:left="284"/>
    </w:pPr>
  </w:style>
  <w:style w:type="paragraph" w:customStyle="1" w:styleId="JuQuotSub">
    <w:name w:val="Ju_Quot_Sub"/>
    <w:basedOn w:val="ECHRParaQuote"/>
    <w:uiPriority w:val="15"/>
    <w:qFormat/>
    <w:rsid w:val="007F47C8"/>
    <w:pPr>
      <w:ind w:left="567"/>
    </w:pPr>
  </w:style>
  <w:style w:type="paragraph" w:customStyle="1" w:styleId="JuTitle">
    <w:name w:val="Ju_Title"/>
    <w:basedOn w:val="ECHRTitle1"/>
    <w:next w:val="JuPara"/>
    <w:rsid w:val="00D056C3"/>
    <w:pPr>
      <w:jc w:val="center"/>
    </w:pPr>
    <w:rPr>
      <w:b/>
      <w:caps/>
      <w:sz w:val="24"/>
      <w:szCs w:val="24"/>
      <w:u w:val="single"/>
    </w:rPr>
  </w:style>
  <w:style w:type="paragraph" w:customStyle="1" w:styleId="OpiH1">
    <w:name w:val="Opi_H_1."/>
    <w:basedOn w:val="OpiHA"/>
    <w:next w:val="OpiPara"/>
    <w:rsid w:val="00CB3CDE"/>
    <w:pPr>
      <w:spacing w:before="240" w:after="120"/>
      <w:ind w:left="635"/>
      <w:outlineLvl w:val="2"/>
    </w:pPr>
    <w:rPr>
      <w:b w:val="0"/>
      <w:i/>
    </w:rPr>
  </w:style>
  <w:style w:type="paragraph" w:customStyle="1" w:styleId="OpiHa0">
    <w:name w:val="Opi_H_a"/>
    <w:basedOn w:val="ECHRHeading3"/>
    <w:uiPriority w:val="43"/>
    <w:qFormat/>
    <w:rsid w:val="007F47C8"/>
    <w:pPr>
      <w:ind w:left="833" w:hanging="357"/>
      <w:outlineLvl w:val="3"/>
    </w:pPr>
    <w:rPr>
      <w:b/>
      <w:i w:val="0"/>
      <w:sz w:val="20"/>
    </w:rPr>
  </w:style>
  <w:style w:type="paragraph" w:customStyle="1" w:styleId="OpiHA">
    <w:name w:val="Opi_H_A"/>
    <w:basedOn w:val="ECHRHeading1"/>
    <w:next w:val="OpiPara"/>
    <w:uiPriority w:val="41"/>
    <w:qFormat/>
    <w:rsid w:val="007F47C8"/>
    <w:pPr>
      <w:tabs>
        <w:tab w:val="clear" w:pos="357"/>
      </w:tabs>
    </w:pPr>
    <w:rPr>
      <w:b/>
      <w:bCs w:val="0"/>
    </w:rPr>
  </w:style>
  <w:style w:type="paragraph" w:customStyle="1" w:styleId="ECHRTitleCentre1">
    <w:name w:val="ECHR_Title_Centre_1"/>
    <w:aliases w:val="Opi_H_Head"/>
    <w:basedOn w:val="Normal"/>
    <w:next w:val="OpiPara"/>
    <w:uiPriority w:val="39"/>
    <w:qFormat/>
    <w:rsid w:val="007F47C8"/>
    <w:pPr>
      <w:keepNext/>
      <w:keepLines/>
      <w:suppressAutoHyphens w:val="0"/>
      <w:spacing w:after="240"/>
      <w:jc w:val="center"/>
      <w:outlineLvl w:val="0"/>
    </w:pPr>
    <w:rPr>
      <w:sz w:val="28"/>
      <w:lang w:eastAsia="en-GB"/>
    </w:rPr>
  </w:style>
  <w:style w:type="paragraph" w:customStyle="1" w:styleId="OpiHi">
    <w:name w:val="Opi_H_i"/>
    <w:basedOn w:val="ECHRHeading4"/>
    <w:uiPriority w:val="44"/>
    <w:qFormat/>
    <w:rsid w:val="007F47C8"/>
    <w:pPr>
      <w:ind w:left="1037" w:hanging="357"/>
      <w:outlineLvl w:val="4"/>
    </w:pPr>
    <w:rPr>
      <w:b w:val="0"/>
      <w:i/>
    </w:rPr>
  </w:style>
  <w:style w:type="paragraph" w:customStyle="1" w:styleId="OpiPara">
    <w:name w:val="Opi_Para"/>
    <w:basedOn w:val="JuPara"/>
    <w:uiPriority w:val="46"/>
    <w:qFormat/>
    <w:rsid w:val="007F47C8"/>
  </w:style>
  <w:style w:type="paragraph" w:customStyle="1" w:styleId="OpiParaSub">
    <w:name w:val="Opi_Para_Sub"/>
    <w:basedOn w:val="JuParaSub"/>
    <w:uiPriority w:val="47"/>
    <w:qFormat/>
    <w:rsid w:val="007F47C8"/>
  </w:style>
  <w:style w:type="paragraph" w:customStyle="1" w:styleId="OpiQuot">
    <w:name w:val="Opi_Quot"/>
    <w:basedOn w:val="ECHRParaQuote"/>
    <w:uiPriority w:val="48"/>
    <w:qFormat/>
    <w:rsid w:val="007F47C8"/>
  </w:style>
  <w:style w:type="paragraph" w:customStyle="1" w:styleId="OpiQuotSub">
    <w:name w:val="Opi_Quot_Sub"/>
    <w:basedOn w:val="JuQuotSub"/>
    <w:uiPriority w:val="49"/>
    <w:qFormat/>
    <w:rsid w:val="007F47C8"/>
  </w:style>
  <w:style w:type="paragraph" w:customStyle="1" w:styleId="OpiTranslation">
    <w:name w:val="Opi_Translation"/>
    <w:basedOn w:val="Normal"/>
    <w:next w:val="OpiPara"/>
    <w:uiPriority w:val="40"/>
    <w:qFormat/>
    <w:rsid w:val="007F47C8"/>
    <w:pPr>
      <w:suppressAutoHyphens w:val="0"/>
      <w:jc w:val="center"/>
      <w:outlineLvl w:val="0"/>
    </w:pPr>
    <w:rPr>
      <w:i/>
      <w:lang w:eastAsia="en-GB"/>
    </w:rPr>
  </w:style>
  <w:style w:type="numbering" w:styleId="111111">
    <w:name w:val="Outline List 2"/>
    <w:basedOn w:val="Aucuneliste"/>
    <w:semiHidden/>
    <w:rsid w:val="00CB3CDE"/>
    <w:pPr>
      <w:numPr>
        <w:numId w:val="9"/>
      </w:numPr>
    </w:pPr>
  </w:style>
  <w:style w:type="numbering" w:styleId="1ai">
    <w:name w:val="Outline List 1"/>
    <w:basedOn w:val="Aucuneliste"/>
    <w:semiHidden/>
    <w:rsid w:val="00CB3CDE"/>
    <w:pPr>
      <w:numPr>
        <w:numId w:val="11"/>
      </w:numPr>
    </w:pPr>
  </w:style>
  <w:style w:type="numbering" w:styleId="ArticleSection">
    <w:name w:val="Outline List 3"/>
    <w:basedOn w:val="Aucuneliste"/>
    <w:semiHidden/>
    <w:rsid w:val="00CB3CDE"/>
    <w:pPr>
      <w:numPr>
        <w:numId w:val="14"/>
      </w:numPr>
    </w:pPr>
  </w:style>
  <w:style w:type="paragraph" w:styleId="Normalcentr">
    <w:name w:val="Block Text"/>
    <w:basedOn w:val="Normal"/>
    <w:semiHidden/>
    <w:rsid w:val="00CB3CDE"/>
    <w:pPr>
      <w:spacing w:after="120"/>
      <w:ind w:left="1440" w:right="1440"/>
    </w:pPr>
  </w:style>
  <w:style w:type="paragraph" w:styleId="Corpsdetexte">
    <w:name w:val="Body Text"/>
    <w:basedOn w:val="Normal"/>
    <w:link w:val="CorpsdetexteCar"/>
    <w:semiHidden/>
    <w:rsid w:val="00CB3CDE"/>
    <w:pPr>
      <w:spacing w:after="120"/>
    </w:pPr>
  </w:style>
  <w:style w:type="character" w:customStyle="1" w:styleId="CorpsdetexteCar">
    <w:name w:val="Corps de texte Car"/>
    <w:link w:val="Corpsdetexte"/>
    <w:rsid w:val="00CB3CDE"/>
    <w:rPr>
      <w:sz w:val="24"/>
      <w:lang w:val="en-GB" w:eastAsia="fr-FR"/>
    </w:rPr>
  </w:style>
  <w:style w:type="paragraph" w:styleId="Corpsdetexte2">
    <w:name w:val="Body Text 2"/>
    <w:basedOn w:val="Normal"/>
    <w:link w:val="Corpsdetexte2Car"/>
    <w:semiHidden/>
    <w:rsid w:val="00CB3CDE"/>
    <w:pPr>
      <w:spacing w:after="120" w:line="480" w:lineRule="auto"/>
    </w:pPr>
  </w:style>
  <w:style w:type="character" w:customStyle="1" w:styleId="Corpsdetexte2Car">
    <w:name w:val="Corps de texte 2 Car"/>
    <w:link w:val="Corpsdetexte2"/>
    <w:rsid w:val="00CB3CDE"/>
    <w:rPr>
      <w:sz w:val="24"/>
      <w:lang w:val="en-GB" w:eastAsia="fr-FR"/>
    </w:rPr>
  </w:style>
  <w:style w:type="paragraph" w:styleId="Corpsdetexte3">
    <w:name w:val="Body Text 3"/>
    <w:basedOn w:val="Normal"/>
    <w:link w:val="Corpsdetexte3Car"/>
    <w:semiHidden/>
    <w:rsid w:val="00CB3CDE"/>
    <w:pPr>
      <w:spacing w:after="120"/>
    </w:pPr>
    <w:rPr>
      <w:sz w:val="16"/>
      <w:szCs w:val="16"/>
    </w:rPr>
  </w:style>
  <w:style w:type="character" w:customStyle="1" w:styleId="Corpsdetexte3Car">
    <w:name w:val="Corps de texte 3 Car"/>
    <w:link w:val="Corpsdetexte3"/>
    <w:rsid w:val="00CB3CDE"/>
    <w:rPr>
      <w:sz w:val="16"/>
      <w:szCs w:val="16"/>
      <w:lang w:val="en-GB" w:eastAsia="fr-FR"/>
    </w:rPr>
  </w:style>
  <w:style w:type="paragraph" w:styleId="Retrait1religne">
    <w:name w:val="Body Text First Indent"/>
    <w:basedOn w:val="Corpsdetexte"/>
    <w:link w:val="Retrait1religneCar"/>
    <w:semiHidden/>
    <w:rsid w:val="00CB3CDE"/>
    <w:pPr>
      <w:ind w:firstLine="210"/>
    </w:pPr>
  </w:style>
  <w:style w:type="character" w:customStyle="1" w:styleId="Retrait1religneCar">
    <w:name w:val="Retrait 1ère ligne Car"/>
    <w:basedOn w:val="CorpsdetexteCar"/>
    <w:link w:val="Retrait1religne"/>
    <w:rsid w:val="00CB3CDE"/>
    <w:rPr>
      <w:sz w:val="24"/>
      <w:lang w:val="en-GB" w:eastAsia="fr-FR"/>
    </w:rPr>
  </w:style>
  <w:style w:type="paragraph" w:styleId="Retraitcorpsdetexte">
    <w:name w:val="Body Text Indent"/>
    <w:basedOn w:val="Normal"/>
    <w:link w:val="RetraitcorpsdetexteCar"/>
    <w:semiHidden/>
    <w:rsid w:val="00CB3CDE"/>
    <w:pPr>
      <w:spacing w:after="120"/>
      <w:ind w:left="283"/>
    </w:pPr>
  </w:style>
  <w:style w:type="character" w:customStyle="1" w:styleId="RetraitcorpsdetexteCar">
    <w:name w:val="Retrait corps de texte Car"/>
    <w:link w:val="Retraitcorpsdetexte"/>
    <w:rsid w:val="00CB3CDE"/>
    <w:rPr>
      <w:sz w:val="24"/>
      <w:lang w:val="en-GB" w:eastAsia="fr-FR"/>
    </w:rPr>
  </w:style>
  <w:style w:type="paragraph" w:styleId="Retraitcorpset1relig">
    <w:name w:val="Body Text First Indent 2"/>
    <w:basedOn w:val="Retraitcorpsdetexte"/>
    <w:link w:val="Retraitcorpset1religCar"/>
    <w:semiHidden/>
    <w:rsid w:val="00CB3CDE"/>
    <w:pPr>
      <w:ind w:firstLine="210"/>
    </w:pPr>
  </w:style>
  <w:style w:type="character" w:customStyle="1" w:styleId="Retraitcorpset1religCar">
    <w:name w:val="Retrait corps et 1ère lig. Car"/>
    <w:basedOn w:val="RetraitcorpsdetexteCar"/>
    <w:link w:val="Retraitcorpset1relig"/>
    <w:rsid w:val="00CB3CDE"/>
    <w:rPr>
      <w:sz w:val="24"/>
      <w:lang w:val="en-GB" w:eastAsia="fr-FR"/>
    </w:rPr>
  </w:style>
  <w:style w:type="paragraph" w:styleId="Retraitcorpsdetexte2">
    <w:name w:val="Body Text Indent 2"/>
    <w:basedOn w:val="Normal"/>
    <w:link w:val="Retraitcorpsdetexte2Car"/>
    <w:semiHidden/>
    <w:rsid w:val="00CB3CDE"/>
    <w:pPr>
      <w:spacing w:after="120" w:line="480" w:lineRule="auto"/>
      <w:ind w:left="283"/>
    </w:pPr>
  </w:style>
  <w:style w:type="character" w:customStyle="1" w:styleId="Retraitcorpsdetexte2Car">
    <w:name w:val="Retrait corps de texte 2 Car"/>
    <w:link w:val="Retraitcorpsdetexte2"/>
    <w:rsid w:val="00CB3CDE"/>
    <w:rPr>
      <w:sz w:val="24"/>
      <w:lang w:val="en-GB" w:eastAsia="fr-FR"/>
    </w:rPr>
  </w:style>
  <w:style w:type="paragraph" w:styleId="Retraitcorpsdetexte3">
    <w:name w:val="Body Text Indent 3"/>
    <w:basedOn w:val="Normal"/>
    <w:link w:val="Retraitcorpsdetexte3Car"/>
    <w:semiHidden/>
    <w:rsid w:val="00CB3CDE"/>
    <w:pPr>
      <w:spacing w:after="120"/>
      <w:ind w:left="283"/>
    </w:pPr>
    <w:rPr>
      <w:sz w:val="16"/>
      <w:szCs w:val="16"/>
    </w:rPr>
  </w:style>
  <w:style w:type="character" w:customStyle="1" w:styleId="Retraitcorpsdetexte3Car">
    <w:name w:val="Retrait corps de texte 3 Car"/>
    <w:link w:val="Retraitcorpsdetexte3"/>
    <w:rsid w:val="00CB3CDE"/>
    <w:rPr>
      <w:sz w:val="16"/>
      <w:szCs w:val="16"/>
      <w:lang w:val="en-GB" w:eastAsia="fr-FR"/>
    </w:rPr>
  </w:style>
  <w:style w:type="paragraph" w:styleId="Lgende">
    <w:name w:val="caption"/>
    <w:basedOn w:val="Normal"/>
    <w:next w:val="Normal"/>
    <w:uiPriority w:val="99"/>
    <w:semiHidden/>
    <w:qFormat/>
    <w:rsid w:val="00CB3CDE"/>
    <w:pPr>
      <w:suppressAutoHyphens w:val="0"/>
      <w:spacing w:after="200"/>
      <w:jc w:val="both"/>
    </w:pPr>
    <w:rPr>
      <w:b/>
      <w:bCs/>
      <w:color w:val="0072BC"/>
      <w:sz w:val="18"/>
      <w:szCs w:val="18"/>
      <w:lang w:eastAsia="en-GB"/>
    </w:rPr>
  </w:style>
  <w:style w:type="paragraph" w:styleId="Formulepolitesse">
    <w:name w:val="Closing"/>
    <w:basedOn w:val="Normal"/>
    <w:link w:val="FormulepolitesseCar"/>
    <w:semiHidden/>
    <w:rsid w:val="00CB3CDE"/>
    <w:pPr>
      <w:ind w:left="4252"/>
    </w:pPr>
  </w:style>
  <w:style w:type="character" w:customStyle="1" w:styleId="FormulepolitesseCar">
    <w:name w:val="Formule politesse Car"/>
    <w:link w:val="Formulepolitesse"/>
    <w:rsid w:val="00CB3CDE"/>
    <w:rPr>
      <w:sz w:val="24"/>
      <w:lang w:val="en-GB" w:eastAsia="fr-FR"/>
    </w:rPr>
  </w:style>
  <w:style w:type="paragraph" w:styleId="Date">
    <w:name w:val="Date"/>
    <w:basedOn w:val="Normal"/>
    <w:next w:val="Normal"/>
    <w:link w:val="DateCar"/>
    <w:semiHidden/>
    <w:rsid w:val="00CB3CDE"/>
  </w:style>
  <w:style w:type="character" w:customStyle="1" w:styleId="DateCar">
    <w:name w:val="Date Car"/>
    <w:link w:val="Date"/>
    <w:rsid w:val="00CB3CDE"/>
    <w:rPr>
      <w:sz w:val="24"/>
      <w:lang w:val="en-GB" w:eastAsia="fr-FR"/>
    </w:rPr>
  </w:style>
  <w:style w:type="table" w:styleId="Grille">
    <w:name w:val="Table Grid"/>
    <w:basedOn w:val="TableauNormal"/>
    <w:semiHidden/>
    <w:rsid w:val="00CB3CD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CHRHeaderTable">
    <w:name w:val="ECHR_Header_Table"/>
    <w:basedOn w:val="Grille"/>
    <w:rsid w:val="00CB3CDE"/>
    <w:pPr>
      <w:suppressAutoHyphens w:val="0"/>
    </w:pPr>
    <w:rPr>
      <w:rFonts w:ascii="Verdana" w:hAnsi="Verdana"/>
    </w:rPr>
    <w:tblPr>
      <w:tblInd w:w="-624" w:type="dxa"/>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top w:w="0" w:type="dxa"/>
        <w:left w:w="0" w:type="dxa"/>
        <w:bottom w:w="28" w:type="dxa"/>
        <w:right w:w="0" w:type="dxa"/>
      </w:tblCellMar>
    </w:tblPr>
    <w:tcPr>
      <w:noWrap/>
      <w:vAlign w:val="bottom"/>
    </w:tcPr>
  </w:style>
  <w:style w:type="paragraph" w:styleId="Signaturelectronique">
    <w:name w:val="E-mail Signature"/>
    <w:basedOn w:val="Normal"/>
    <w:link w:val="SignaturelectroniqueCar"/>
    <w:semiHidden/>
    <w:rsid w:val="00CB3CDE"/>
  </w:style>
  <w:style w:type="character" w:customStyle="1" w:styleId="SignaturelectroniqueCar">
    <w:name w:val="Signature électronique Car"/>
    <w:link w:val="Signaturelectronique"/>
    <w:rsid w:val="00CB3CDE"/>
    <w:rPr>
      <w:sz w:val="24"/>
      <w:lang w:val="en-GB" w:eastAsia="fr-FR"/>
    </w:rPr>
  </w:style>
  <w:style w:type="character" w:styleId="Accentuation">
    <w:name w:val="Emphasis"/>
    <w:uiPriority w:val="99"/>
    <w:semiHidden/>
    <w:qFormat/>
    <w:rsid w:val="007F47C8"/>
    <w:rPr>
      <w:b/>
      <w:bCs/>
      <w:i/>
      <w:iCs/>
      <w:spacing w:val="10"/>
      <w:bdr w:val="none" w:sz="0" w:space="0" w:color="auto"/>
      <w:shd w:val="clear" w:color="auto" w:fill="auto"/>
    </w:rPr>
  </w:style>
  <w:style w:type="paragraph" w:styleId="Adressedestinataire">
    <w:name w:val="envelope address"/>
    <w:basedOn w:val="Normal"/>
    <w:semiHidden/>
    <w:rsid w:val="00CB3CDE"/>
    <w:pPr>
      <w:framePr w:w="7920" w:h="1980" w:hRule="exact" w:hSpace="180" w:wrap="auto" w:hAnchor="page" w:xAlign="center" w:yAlign="bottom"/>
      <w:ind w:left="2880"/>
    </w:pPr>
    <w:rPr>
      <w:rFonts w:ascii="Arial" w:hAnsi="Arial" w:cs="Arial"/>
      <w:szCs w:val="24"/>
    </w:rPr>
  </w:style>
  <w:style w:type="paragraph" w:styleId="Adresseexpditeur">
    <w:name w:val="envelope return"/>
    <w:basedOn w:val="Normal"/>
    <w:semiHidden/>
    <w:rsid w:val="00CB3CDE"/>
    <w:rPr>
      <w:rFonts w:ascii="Arial" w:hAnsi="Arial" w:cs="Arial"/>
      <w:sz w:val="20"/>
    </w:rPr>
  </w:style>
  <w:style w:type="character" w:styleId="AcronymeHTML">
    <w:name w:val="HTML Acronym"/>
    <w:semiHidden/>
    <w:rsid w:val="00CB3CDE"/>
  </w:style>
  <w:style w:type="paragraph" w:styleId="AdresseHTML">
    <w:name w:val="HTML Address"/>
    <w:basedOn w:val="Normal"/>
    <w:link w:val="AdresseHTMLCar"/>
    <w:semiHidden/>
    <w:rsid w:val="00CB3CDE"/>
    <w:rPr>
      <w:i/>
      <w:iCs/>
    </w:rPr>
  </w:style>
  <w:style w:type="character" w:customStyle="1" w:styleId="AdresseHTMLCar">
    <w:name w:val="Adresse HTML Car"/>
    <w:link w:val="AdresseHTML"/>
    <w:rsid w:val="00CB3CDE"/>
    <w:rPr>
      <w:i/>
      <w:iCs/>
      <w:sz w:val="24"/>
      <w:lang w:val="en-GB" w:eastAsia="fr-FR"/>
    </w:rPr>
  </w:style>
  <w:style w:type="character" w:styleId="SiteHTML">
    <w:name w:val="HTML Cite"/>
    <w:semiHidden/>
    <w:rsid w:val="00CB3CDE"/>
    <w:rPr>
      <w:i/>
      <w:iCs/>
    </w:rPr>
  </w:style>
  <w:style w:type="character" w:styleId="CodeHTML">
    <w:name w:val="HTML Code"/>
    <w:semiHidden/>
    <w:rsid w:val="00CB3CDE"/>
    <w:rPr>
      <w:rFonts w:ascii="Courier New" w:hAnsi="Courier New" w:cs="Courier New"/>
      <w:sz w:val="20"/>
      <w:szCs w:val="20"/>
    </w:rPr>
  </w:style>
  <w:style w:type="character" w:styleId="DfinitionHTML">
    <w:name w:val="HTML Definition"/>
    <w:semiHidden/>
    <w:rsid w:val="00CB3CDE"/>
    <w:rPr>
      <w:i/>
      <w:iCs/>
    </w:rPr>
  </w:style>
  <w:style w:type="character" w:styleId="ClavierHTML">
    <w:name w:val="HTML Keyboard"/>
    <w:semiHidden/>
    <w:rsid w:val="00CB3CDE"/>
    <w:rPr>
      <w:rFonts w:ascii="Courier New" w:hAnsi="Courier New" w:cs="Courier New"/>
      <w:sz w:val="20"/>
      <w:szCs w:val="20"/>
    </w:rPr>
  </w:style>
  <w:style w:type="paragraph" w:styleId="HTMLprformat">
    <w:name w:val="HTML Preformatted"/>
    <w:basedOn w:val="Normal"/>
    <w:link w:val="HTMLprformatCar"/>
    <w:semiHidden/>
    <w:rsid w:val="00CB3CDE"/>
    <w:rPr>
      <w:rFonts w:ascii="Courier New" w:hAnsi="Courier New" w:cs="Courier New"/>
      <w:sz w:val="20"/>
    </w:rPr>
  </w:style>
  <w:style w:type="character" w:customStyle="1" w:styleId="HTMLprformatCar">
    <w:name w:val="HTML préformaté Car"/>
    <w:link w:val="HTMLprformat"/>
    <w:rsid w:val="00CB3CDE"/>
    <w:rPr>
      <w:rFonts w:ascii="Courier New" w:hAnsi="Courier New" w:cs="Courier New"/>
      <w:lang w:val="en-GB" w:eastAsia="fr-FR"/>
    </w:rPr>
  </w:style>
  <w:style w:type="character" w:styleId="ExempleHTML">
    <w:name w:val="HTML Sample"/>
    <w:semiHidden/>
    <w:rsid w:val="00CB3CDE"/>
    <w:rPr>
      <w:rFonts w:ascii="Courier New" w:hAnsi="Courier New" w:cs="Courier New"/>
    </w:rPr>
  </w:style>
  <w:style w:type="character" w:styleId="MachinecrireHTML">
    <w:name w:val="HTML Typewriter"/>
    <w:semiHidden/>
    <w:rsid w:val="00CB3CDE"/>
    <w:rPr>
      <w:rFonts w:ascii="Courier New" w:hAnsi="Courier New" w:cs="Courier New"/>
      <w:sz w:val="20"/>
      <w:szCs w:val="20"/>
    </w:rPr>
  </w:style>
  <w:style w:type="character" w:styleId="VariableHTML">
    <w:name w:val="HTML Variable"/>
    <w:semiHidden/>
    <w:rsid w:val="00CB3CDE"/>
    <w:rPr>
      <w:i/>
      <w:iCs/>
    </w:rPr>
  </w:style>
  <w:style w:type="paragraph" w:styleId="Index1">
    <w:name w:val="index 1"/>
    <w:basedOn w:val="Normal"/>
    <w:next w:val="Normal"/>
    <w:autoRedefine/>
    <w:semiHidden/>
    <w:rsid w:val="00CB3CDE"/>
    <w:pPr>
      <w:ind w:left="240" w:hanging="240"/>
    </w:pPr>
  </w:style>
  <w:style w:type="paragraph" w:styleId="Index2">
    <w:name w:val="index 2"/>
    <w:basedOn w:val="Normal"/>
    <w:next w:val="Normal"/>
    <w:autoRedefine/>
    <w:semiHidden/>
    <w:rsid w:val="00CB3CDE"/>
    <w:pPr>
      <w:ind w:left="480" w:hanging="240"/>
    </w:pPr>
  </w:style>
  <w:style w:type="paragraph" w:styleId="Index3">
    <w:name w:val="index 3"/>
    <w:basedOn w:val="Normal"/>
    <w:next w:val="Normal"/>
    <w:autoRedefine/>
    <w:semiHidden/>
    <w:rsid w:val="00CB3CDE"/>
    <w:pPr>
      <w:ind w:left="720" w:hanging="240"/>
    </w:pPr>
  </w:style>
  <w:style w:type="paragraph" w:styleId="Index4">
    <w:name w:val="index 4"/>
    <w:basedOn w:val="Normal"/>
    <w:next w:val="Normal"/>
    <w:autoRedefine/>
    <w:semiHidden/>
    <w:rsid w:val="00CB3CDE"/>
    <w:pPr>
      <w:ind w:left="960" w:hanging="240"/>
    </w:pPr>
  </w:style>
  <w:style w:type="paragraph" w:styleId="Index5">
    <w:name w:val="index 5"/>
    <w:basedOn w:val="Normal"/>
    <w:next w:val="Normal"/>
    <w:autoRedefine/>
    <w:semiHidden/>
    <w:rsid w:val="00CB3CDE"/>
    <w:pPr>
      <w:ind w:left="1200" w:hanging="240"/>
    </w:pPr>
  </w:style>
  <w:style w:type="paragraph" w:styleId="Index6">
    <w:name w:val="index 6"/>
    <w:basedOn w:val="Normal"/>
    <w:next w:val="Normal"/>
    <w:autoRedefine/>
    <w:semiHidden/>
    <w:rsid w:val="00CB3CDE"/>
    <w:pPr>
      <w:ind w:left="1440" w:hanging="240"/>
    </w:pPr>
  </w:style>
  <w:style w:type="paragraph" w:styleId="Index7">
    <w:name w:val="index 7"/>
    <w:basedOn w:val="Normal"/>
    <w:next w:val="Normal"/>
    <w:autoRedefine/>
    <w:semiHidden/>
    <w:rsid w:val="00CB3CDE"/>
    <w:pPr>
      <w:ind w:left="1680" w:hanging="240"/>
    </w:pPr>
  </w:style>
  <w:style w:type="paragraph" w:styleId="Index8">
    <w:name w:val="index 8"/>
    <w:basedOn w:val="Normal"/>
    <w:next w:val="Normal"/>
    <w:autoRedefine/>
    <w:semiHidden/>
    <w:rsid w:val="00CB3CDE"/>
    <w:pPr>
      <w:ind w:left="1920" w:hanging="240"/>
    </w:pPr>
  </w:style>
  <w:style w:type="paragraph" w:styleId="Index9">
    <w:name w:val="index 9"/>
    <w:basedOn w:val="Normal"/>
    <w:next w:val="Normal"/>
    <w:autoRedefine/>
    <w:semiHidden/>
    <w:rsid w:val="00CB3CDE"/>
    <w:pPr>
      <w:ind w:left="2160" w:hanging="240"/>
    </w:pPr>
  </w:style>
  <w:style w:type="paragraph" w:styleId="Titreindex">
    <w:name w:val="index heading"/>
    <w:basedOn w:val="Normal"/>
    <w:next w:val="Index1"/>
    <w:semiHidden/>
    <w:rsid w:val="00CB3CDE"/>
    <w:rPr>
      <w:rFonts w:ascii="Arial" w:hAnsi="Arial" w:cs="Arial"/>
      <w:b/>
      <w:bCs/>
    </w:rPr>
  </w:style>
  <w:style w:type="character" w:styleId="Numrodeligne">
    <w:name w:val="line number"/>
    <w:semiHidden/>
    <w:rsid w:val="00CB3CDE"/>
  </w:style>
  <w:style w:type="paragraph" w:styleId="Liste">
    <w:name w:val="List"/>
    <w:basedOn w:val="Normal"/>
    <w:semiHidden/>
    <w:rsid w:val="00CB3CDE"/>
    <w:pPr>
      <w:ind w:left="283" w:hanging="283"/>
    </w:pPr>
  </w:style>
  <w:style w:type="paragraph" w:styleId="Liste2">
    <w:name w:val="List 2"/>
    <w:basedOn w:val="Normal"/>
    <w:semiHidden/>
    <w:rsid w:val="00CB3CDE"/>
    <w:pPr>
      <w:ind w:left="566" w:hanging="283"/>
    </w:pPr>
  </w:style>
  <w:style w:type="paragraph" w:styleId="Liste3">
    <w:name w:val="List 3"/>
    <w:basedOn w:val="Normal"/>
    <w:semiHidden/>
    <w:rsid w:val="00CB3CDE"/>
    <w:pPr>
      <w:ind w:left="849" w:hanging="283"/>
    </w:pPr>
  </w:style>
  <w:style w:type="paragraph" w:styleId="Liste4">
    <w:name w:val="List 4"/>
    <w:basedOn w:val="Normal"/>
    <w:semiHidden/>
    <w:rsid w:val="00CB3CDE"/>
    <w:pPr>
      <w:ind w:left="1132" w:hanging="283"/>
    </w:pPr>
  </w:style>
  <w:style w:type="paragraph" w:styleId="Liste5">
    <w:name w:val="List 5"/>
    <w:basedOn w:val="Normal"/>
    <w:semiHidden/>
    <w:rsid w:val="00CB3CDE"/>
    <w:pPr>
      <w:ind w:left="1415" w:hanging="283"/>
    </w:pPr>
  </w:style>
  <w:style w:type="paragraph" w:styleId="Listepuces2">
    <w:name w:val="List Bullet 2"/>
    <w:basedOn w:val="Normal"/>
    <w:semiHidden/>
    <w:rsid w:val="00CB3CDE"/>
    <w:pPr>
      <w:numPr>
        <w:numId w:val="27"/>
      </w:numPr>
    </w:pPr>
  </w:style>
  <w:style w:type="paragraph" w:styleId="Listepuces3">
    <w:name w:val="List Bullet 3"/>
    <w:basedOn w:val="Normal"/>
    <w:semiHidden/>
    <w:rsid w:val="00CB3CDE"/>
    <w:pPr>
      <w:numPr>
        <w:numId w:val="29"/>
      </w:numPr>
    </w:pPr>
  </w:style>
  <w:style w:type="paragraph" w:styleId="Listepuces4">
    <w:name w:val="List Bullet 4"/>
    <w:basedOn w:val="Normal"/>
    <w:semiHidden/>
    <w:rsid w:val="00CB3CDE"/>
    <w:pPr>
      <w:numPr>
        <w:numId w:val="31"/>
      </w:numPr>
    </w:pPr>
  </w:style>
  <w:style w:type="paragraph" w:styleId="Listepuces5">
    <w:name w:val="List Bullet 5"/>
    <w:basedOn w:val="Normal"/>
    <w:semiHidden/>
    <w:rsid w:val="00CB3CDE"/>
    <w:pPr>
      <w:numPr>
        <w:numId w:val="33"/>
      </w:numPr>
    </w:pPr>
  </w:style>
  <w:style w:type="paragraph" w:styleId="Listecontinue">
    <w:name w:val="List Continue"/>
    <w:basedOn w:val="Normal"/>
    <w:semiHidden/>
    <w:rsid w:val="00CB3CDE"/>
    <w:pPr>
      <w:spacing w:after="120"/>
      <w:ind w:left="283"/>
    </w:pPr>
  </w:style>
  <w:style w:type="paragraph" w:styleId="Listecontinue2">
    <w:name w:val="List Continue 2"/>
    <w:basedOn w:val="Normal"/>
    <w:semiHidden/>
    <w:rsid w:val="00CB3CDE"/>
    <w:pPr>
      <w:spacing w:after="120"/>
      <w:ind w:left="566"/>
    </w:pPr>
  </w:style>
  <w:style w:type="paragraph" w:styleId="Listecontinue3">
    <w:name w:val="List Continue 3"/>
    <w:basedOn w:val="Normal"/>
    <w:semiHidden/>
    <w:rsid w:val="00CB3CDE"/>
    <w:pPr>
      <w:spacing w:after="120"/>
      <w:ind w:left="849"/>
    </w:pPr>
  </w:style>
  <w:style w:type="paragraph" w:styleId="Listecontinue4">
    <w:name w:val="List Continue 4"/>
    <w:basedOn w:val="Normal"/>
    <w:semiHidden/>
    <w:rsid w:val="00CB3CDE"/>
    <w:pPr>
      <w:spacing w:after="120"/>
      <w:ind w:left="1132"/>
    </w:pPr>
  </w:style>
  <w:style w:type="paragraph" w:styleId="Listecontinue5">
    <w:name w:val="List Continue 5"/>
    <w:basedOn w:val="Normal"/>
    <w:semiHidden/>
    <w:rsid w:val="00CB3CDE"/>
    <w:pPr>
      <w:spacing w:after="120"/>
      <w:ind w:left="1415"/>
    </w:pPr>
  </w:style>
  <w:style w:type="paragraph" w:styleId="Listenumros">
    <w:name w:val="List Number"/>
    <w:basedOn w:val="Normal"/>
    <w:semiHidden/>
    <w:rsid w:val="00CB3CDE"/>
    <w:pPr>
      <w:numPr>
        <w:numId w:val="35"/>
      </w:numPr>
    </w:pPr>
  </w:style>
  <w:style w:type="paragraph" w:styleId="Listenumros2">
    <w:name w:val="List Number 2"/>
    <w:basedOn w:val="Normal"/>
    <w:semiHidden/>
    <w:rsid w:val="00CB3CDE"/>
    <w:pPr>
      <w:numPr>
        <w:numId w:val="37"/>
      </w:numPr>
    </w:pPr>
  </w:style>
  <w:style w:type="paragraph" w:styleId="Listenumros3">
    <w:name w:val="List Number 3"/>
    <w:basedOn w:val="Normal"/>
    <w:semiHidden/>
    <w:rsid w:val="00CB3CDE"/>
    <w:pPr>
      <w:numPr>
        <w:numId w:val="39"/>
      </w:numPr>
    </w:pPr>
  </w:style>
  <w:style w:type="paragraph" w:styleId="Listenumros4">
    <w:name w:val="List Number 4"/>
    <w:basedOn w:val="Normal"/>
    <w:semiHidden/>
    <w:rsid w:val="00CB3CDE"/>
    <w:pPr>
      <w:numPr>
        <w:numId w:val="41"/>
      </w:numPr>
    </w:pPr>
  </w:style>
  <w:style w:type="paragraph" w:styleId="Listenumros5">
    <w:name w:val="List Number 5"/>
    <w:basedOn w:val="Normal"/>
    <w:semiHidden/>
    <w:rsid w:val="00CB3CDE"/>
    <w:pPr>
      <w:numPr>
        <w:numId w:val="43"/>
      </w:numPr>
    </w:pPr>
  </w:style>
  <w:style w:type="paragraph" w:styleId="Textedemacro">
    <w:name w:val="macro"/>
    <w:link w:val="TextedemacroCar"/>
    <w:semiHidden/>
    <w:rsid w:val="00CB3CDE"/>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2"/>
      <w:szCs w:val="22"/>
      <w:lang w:eastAsia="fr-FR"/>
    </w:rPr>
  </w:style>
  <w:style w:type="character" w:customStyle="1" w:styleId="TextedemacroCar">
    <w:name w:val="Texte de macro Car"/>
    <w:link w:val="Textedemacro"/>
    <w:rsid w:val="00CB3CDE"/>
    <w:rPr>
      <w:rFonts w:ascii="Courier New" w:hAnsi="Courier New" w:cs="Courier New"/>
      <w:lang w:val="en-GB" w:eastAsia="fr-FR"/>
    </w:rPr>
  </w:style>
  <w:style w:type="paragraph" w:styleId="En-ttedemessage">
    <w:name w:val="Message Header"/>
    <w:basedOn w:val="Normal"/>
    <w:link w:val="En-ttedemessageCar"/>
    <w:semiHidden/>
    <w:rsid w:val="00CB3C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En-ttedemessageCar">
    <w:name w:val="En-tête de message Car"/>
    <w:link w:val="En-ttedemessage"/>
    <w:rsid w:val="00CB3CDE"/>
    <w:rPr>
      <w:rFonts w:ascii="Arial" w:hAnsi="Arial" w:cs="Arial"/>
      <w:sz w:val="24"/>
      <w:szCs w:val="24"/>
      <w:shd w:val="pct20" w:color="auto" w:fill="auto"/>
      <w:lang w:val="en-GB" w:eastAsia="fr-FR"/>
    </w:rPr>
  </w:style>
  <w:style w:type="paragraph" w:styleId="NormalWeb">
    <w:name w:val="Normal (Web)"/>
    <w:basedOn w:val="Normal"/>
    <w:semiHidden/>
    <w:rsid w:val="00CB3CDE"/>
    <w:rPr>
      <w:szCs w:val="24"/>
    </w:rPr>
  </w:style>
  <w:style w:type="paragraph" w:styleId="Retraitnormal">
    <w:name w:val="Normal Indent"/>
    <w:basedOn w:val="Normal"/>
    <w:semiHidden/>
    <w:rsid w:val="00CB3CDE"/>
    <w:pPr>
      <w:ind w:left="720"/>
    </w:pPr>
  </w:style>
  <w:style w:type="paragraph" w:customStyle="1" w:styleId="NormalJustified">
    <w:name w:val="Normal_Justified"/>
    <w:basedOn w:val="NormalTimesNewRoman"/>
    <w:rsid w:val="00CB3CDE"/>
    <w:pPr>
      <w:jc w:val="both"/>
    </w:pPr>
  </w:style>
  <w:style w:type="paragraph" w:styleId="Titredenote">
    <w:name w:val="Note Heading"/>
    <w:basedOn w:val="Normal"/>
    <w:next w:val="Normal"/>
    <w:link w:val="TitredenoteCar"/>
    <w:semiHidden/>
    <w:rsid w:val="00CB3CDE"/>
  </w:style>
  <w:style w:type="character" w:customStyle="1" w:styleId="TitredenoteCar">
    <w:name w:val="Titre de note Car"/>
    <w:link w:val="Titredenote"/>
    <w:rsid w:val="00CB3CDE"/>
    <w:rPr>
      <w:sz w:val="24"/>
      <w:lang w:val="en-GB" w:eastAsia="fr-FR"/>
    </w:rPr>
  </w:style>
  <w:style w:type="paragraph" w:styleId="Textebrut">
    <w:name w:val="Plain Text"/>
    <w:basedOn w:val="Normal"/>
    <w:link w:val="TextebrutCar"/>
    <w:semiHidden/>
    <w:rsid w:val="00CB3CDE"/>
    <w:rPr>
      <w:rFonts w:ascii="Courier New" w:hAnsi="Courier New" w:cs="Courier New"/>
      <w:sz w:val="20"/>
    </w:rPr>
  </w:style>
  <w:style w:type="character" w:customStyle="1" w:styleId="TextebrutCar">
    <w:name w:val="Texte brut Car"/>
    <w:link w:val="Textebrut"/>
    <w:rsid w:val="00CB3CDE"/>
    <w:rPr>
      <w:rFonts w:ascii="Courier New" w:hAnsi="Courier New" w:cs="Courier New"/>
      <w:lang w:val="en-GB" w:eastAsia="fr-FR"/>
    </w:rPr>
  </w:style>
  <w:style w:type="paragraph" w:customStyle="1" w:styleId="PubJuPara">
    <w:name w:val="Pub_Ju_Para"/>
    <w:basedOn w:val="NormalTimesNewRoman"/>
    <w:rsid w:val="00CB3CDE"/>
    <w:pPr>
      <w:ind w:firstLine="284"/>
      <w:jc w:val="both"/>
    </w:pPr>
  </w:style>
  <w:style w:type="paragraph" w:customStyle="1" w:styleId="PubJuQuot">
    <w:name w:val="Pub_Ju_Quot"/>
    <w:basedOn w:val="NormalTimesNewRoman"/>
    <w:rsid w:val="00CB3CDE"/>
    <w:pPr>
      <w:spacing w:before="120" w:after="120"/>
      <w:ind w:left="403" w:firstLine="176"/>
      <w:jc w:val="both"/>
    </w:pPr>
    <w:rPr>
      <w:sz w:val="20"/>
    </w:rPr>
  </w:style>
  <w:style w:type="paragraph" w:customStyle="1" w:styleId="PubListArticleSubject">
    <w:name w:val="Pub_List_ArticleSubject"/>
    <w:basedOn w:val="NormalTimesNewRoman"/>
    <w:rsid w:val="00CB3CDE"/>
    <w:pPr>
      <w:tabs>
        <w:tab w:val="left" w:pos="2977"/>
      </w:tabs>
      <w:ind w:left="2977" w:hanging="2977"/>
    </w:pPr>
  </w:style>
  <w:style w:type="paragraph" w:customStyle="1" w:styleId="PubListCaseNo">
    <w:name w:val="Pub_List_CaseNo"/>
    <w:basedOn w:val="NormalTimesNewRoman"/>
    <w:rsid w:val="00CB3CDE"/>
    <w:pPr>
      <w:tabs>
        <w:tab w:val="left" w:pos="1276"/>
      </w:tabs>
      <w:spacing w:line="288" w:lineRule="auto"/>
      <w:ind w:left="1276" w:hanging="1276"/>
    </w:pPr>
  </w:style>
  <w:style w:type="paragraph" w:customStyle="1" w:styleId="PubListCases">
    <w:name w:val="Pub_List_Cases"/>
    <w:basedOn w:val="NormalTimesNewRoman"/>
    <w:rsid w:val="00CB3CDE"/>
    <w:pPr>
      <w:spacing w:line="288" w:lineRule="auto"/>
    </w:pPr>
  </w:style>
  <w:style w:type="paragraph" w:customStyle="1" w:styleId="PubTextIntro">
    <w:name w:val="Pub_Text_Intro"/>
    <w:basedOn w:val="NormalTimesNewRoman"/>
    <w:rsid w:val="00CB3CDE"/>
    <w:pPr>
      <w:jc w:val="both"/>
    </w:pPr>
    <w:rPr>
      <w:i/>
      <w:sz w:val="20"/>
    </w:rPr>
  </w:style>
  <w:style w:type="paragraph" w:customStyle="1" w:styleId="PubTitleCover">
    <w:name w:val="Pub_Title_Cover"/>
    <w:basedOn w:val="NormalTimesNewRoman"/>
    <w:rsid w:val="00CB3CDE"/>
    <w:pPr>
      <w:spacing w:before="2500"/>
      <w:jc w:val="center"/>
    </w:pPr>
    <w:rPr>
      <w:b/>
      <w:smallCaps/>
      <w:sz w:val="30"/>
    </w:rPr>
  </w:style>
  <w:style w:type="paragraph" w:customStyle="1" w:styleId="PubTitle1Alpha">
    <w:name w:val="Pub_Title1_Alpha"/>
    <w:basedOn w:val="NormalTimesNewRoman"/>
    <w:next w:val="Normal"/>
    <w:rsid w:val="00CB3CDE"/>
    <w:pPr>
      <w:spacing w:after="120"/>
      <w:jc w:val="center"/>
    </w:pPr>
    <w:rPr>
      <w:b/>
      <w:smallCaps/>
      <w:sz w:val="30"/>
    </w:rPr>
  </w:style>
  <w:style w:type="paragraph" w:customStyle="1" w:styleId="PubTitle1IndexArticle">
    <w:name w:val="Pub_Title1_IndexArticle"/>
    <w:basedOn w:val="NormalTimesNewRoman"/>
    <w:rsid w:val="00CB3CDE"/>
    <w:pPr>
      <w:spacing w:after="120"/>
      <w:jc w:val="center"/>
    </w:pPr>
    <w:rPr>
      <w:b/>
      <w:smallCaps/>
      <w:sz w:val="30"/>
    </w:rPr>
  </w:style>
  <w:style w:type="paragraph" w:customStyle="1" w:styleId="PubTitle1IndexKey">
    <w:name w:val="Pub_Title1_IndexKey"/>
    <w:basedOn w:val="NormalTimesNewRoman"/>
    <w:rsid w:val="00CB3CDE"/>
    <w:pPr>
      <w:spacing w:after="600"/>
      <w:jc w:val="center"/>
    </w:pPr>
    <w:rPr>
      <w:b/>
      <w:smallCaps/>
      <w:sz w:val="30"/>
    </w:rPr>
  </w:style>
  <w:style w:type="paragraph" w:customStyle="1" w:styleId="PubTitle1Num">
    <w:name w:val="Pub_Title1_Num"/>
    <w:basedOn w:val="NormalTimesNewRoman"/>
    <w:next w:val="PubListCaseNo"/>
    <w:rsid w:val="00CB3CDE"/>
    <w:pPr>
      <w:spacing w:after="720"/>
      <w:jc w:val="center"/>
    </w:pPr>
    <w:rPr>
      <w:b/>
      <w:smallCaps/>
      <w:sz w:val="30"/>
    </w:rPr>
  </w:style>
  <w:style w:type="paragraph" w:customStyle="1" w:styleId="PubTitle2Country">
    <w:name w:val="Pub_Title2_Country"/>
    <w:basedOn w:val="NormalTimesNewRoman"/>
    <w:next w:val="PubListCases"/>
    <w:rsid w:val="00CB3CDE"/>
    <w:pPr>
      <w:keepNext/>
      <w:keepLines/>
      <w:spacing w:before="600" w:after="360"/>
    </w:pPr>
    <w:rPr>
      <w:b/>
    </w:rPr>
  </w:style>
  <w:style w:type="paragraph" w:customStyle="1" w:styleId="PubTitle2Letters">
    <w:name w:val="Pub_Title2_Letters"/>
    <w:basedOn w:val="NormalTimesNewRoman"/>
    <w:next w:val="PubListCases"/>
    <w:rsid w:val="00CB3CDE"/>
    <w:pPr>
      <w:keepNext/>
      <w:keepLines/>
      <w:spacing w:before="600" w:after="360"/>
    </w:pPr>
    <w:rPr>
      <w:b/>
      <w:sz w:val="28"/>
    </w:rPr>
  </w:style>
  <w:style w:type="paragraph" w:customStyle="1" w:styleId="PubTitle2Part">
    <w:name w:val="Pub_Title2_Part"/>
    <w:basedOn w:val="NormalTimesNewRoman"/>
    <w:rsid w:val="00CB3CDE"/>
    <w:pPr>
      <w:keepNext/>
      <w:keepLines/>
      <w:spacing w:before="600" w:after="240"/>
      <w:jc w:val="center"/>
    </w:pPr>
    <w:rPr>
      <w:b/>
      <w:caps/>
    </w:rPr>
  </w:style>
  <w:style w:type="paragraph" w:customStyle="1" w:styleId="PubTitle3Article">
    <w:name w:val="Pub_Title3_Article"/>
    <w:basedOn w:val="NormalTimesNewRoman"/>
    <w:rsid w:val="00CB3CDE"/>
    <w:pPr>
      <w:keepNext/>
      <w:keepLines/>
      <w:spacing w:before="360" w:after="120"/>
      <w:jc w:val="center"/>
    </w:pPr>
    <w:rPr>
      <w:b/>
      <w:smallCaps/>
      <w:sz w:val="22"/>
    </w:rPr>
  </w:style>
  <w:style w:type="paragraph" w:customStyle="1" w:styleId="PubTitle4ArticleSub">
    <w:name w:val="Pub_Title4_Article_Sub"/>
    <w:basedOn w:val="PubTitle3Article"/>
    <w:rsid w:val="00CB3CDE"/>
    <w:pPr>
      <w:spacing w:before="240"/>
    </w:pPr>
    <w:rPr>
      <w:smallCaps w:val="0"/>
      <w:sz w:val="20"/>
    </w:rPr>
  </w:style>
  <w:style w:type="paragraph" w:customStyle="1" w:styleId="PubTitle5Subject">
    <w:name w:val="Pub_Title5_Subject"/>
    <w:basedOn w:val="NormalTimesNewRoman"/>
    <w:rsid w:val="00CB3CDE"/>
    <w:pPr>
      <w:keepNext/>
      <w:keepLines/>
      <w:spacing w:before="240" w:after="120"/>
      <w:jc w:val="both"/>
    </w:pPr>
    <w:rPr>
      <w:b/>
      <w:i/>
    </w:rPr>
  </w:style>
  <w:style w:type="paragraph" w:customStyle="1" w:styleId="PubTitle6SubjectSub">
    <w:name w:val="Pub_Title6_Subject_Sub"/>
    <w:basedOn w:val="NormalTimesNewRoman"/>
    <w:rsid w:val="00CB3CDE"/>
    <w:pPr>
      <w:keepNext/>
      <w:keepLines/>
      <w:spacing w:before="240" w:after="120"/>
      <w:ind w:left="284"/>
      <w:jc w:val="both"/>
    </w:pPr>
    <w:rPr>
      <w:b/>
      <w:sz w:val="20"/>
    </w:rPr>
  </w:style>
  <w:style w:type="paragraph" w:customStyle="1" w:styleId="PubTitle7CaseName">
    <w:name w:val="Pub_Title7_CaseName"/>
    <w:basedOn w:val="NormalTimesNewRoman"/>
    <w:rsid w:val="00CB3CDE"/>
    <w:pPr>
      <w:keepLines/>
      <w:spacing w:after="240"/>
      <w:jc w:val="right"/>
    </w:pPr>
    <w:rPr>
      <w:sz w:val="22"/>
    </w:rPr>
  </w:style>
  <w:style w:type="paragraph" w:styleId="Salutations">
    <w:name w:val="Salutation"/>
    <w:basedOn w:val="Normal"/>
    <w:next w:val="Normal"/>
    <w:link w:val="SalutationsCar"/>
    <w:semiHidden/>
    <w:rsid w:val="00CB3CDE"/>
  </w:style>
  <w:style w:type="character" w:customStyle="1" w:styleId="SalutationsCar">
    <w:name w:val="Salutations Car"/>
    <w:link w:val="Salutations"/>
    <w:rsid w:val="00CB3CDE"/>
    <w:rPr>
      <w:sz w:val="24"/>
      <w:lang w:val="en-GB" w:eastAsia="fr-FR"/>
    </w:rPr>
  </w:style>
  <w:style w:type="paragraph" w:styleId="Signature">
    <w:name w:val="Signature"/>
    <w:basedOn w:val="Normal"/>
    <w:link w:val="SignatureCar"/>
    <w:semiHidden/>
    <w:rsid w:val="00CB3CDE"/>
    <w:pPr>
      <w:ind w:left="4252"/>
    </w:pPr>
  </w:style>
  <w:style w:type="character" w:customStyle="1" w:styleId="SignatureCar">
    <w:name w:val="Signature Car"/>
    <w:link w:val="Signature"/>
    <w:rsid w:val="00CB3CDE"/>
    <w:rPr>
      <w:sz w:val="24"/>
      <w:lang w:val="en-GB" w:eastAsia="fr-FR"/>
    </w:rPr>
  </w:style>
  <w:style w:type="paragraph" w:customStyle="1" w:styleId="SuCoverTitle1">
    <w:name w:val="Su_Cover_Title1"/>
    <w:basedOn w:val="NormalTimesNewRoman"/>
    <w:next w:val="Normal"/>
    <w:rsid w:val="00CB3CDE"/>
    <w:pPr>
      <w:spacing w:before="2500"/>
      <w:jc w:val="center"/>
    </w:pPr>
    <w:rPr>
      <w:sz w:val="22"/>
    </w:rPr>
  </w:style>
  <w:style w:type="paragraph" w:customStyle="1" w:styleId="SuCoverTitle2">
    <w:name w:val="Su_Cover_Title2"/>
    <w:basedOn w:val="SuCoverTitle1"/>
    <w:next w:val="Normal"/>
    <w:rsid w:val="00CB3CDE"/>
    <w:pPr>
      <w:spacing w:before="240"/>
    </w:pPr>
    <w:rPr>
      <w:sz w:val="18"/>
    </w:rPr>
  </w:style>
  <w:style w:type="paragraph" w:customStyle="1" w:styleId="SuSummary">
    <w:name w:val="Su_Summary"/>
    <w:basedOn w:val="NormalTimesNewRoman"/>
    <w:next w:val="Normal"/>
    <w:rsid w:val="00CB3CDE"/>
    <w:pPr>
      <w:spacing w:after="240"/>
      <w:jc w:val="center"/>
    </w:pPr>
  </w:style>
  <w:style w:type="paragraph" w:customStyle="1" w:styleId="SuSubject">
    <w:name w:val="Su_Subject"/>
    <w:basedOn w:val="SuSummary"/>
    <w:rsid w:val="00CB3CDE"/>
    <w:pPr>
      <w:spacing w:before="360"/>
      <w:jc w:val="both"/>
    </w:pPr>
    <w:rPr>
      <w:b/>
      <w:sz w:val="22"/>
    </w:rPr>
  </w:style>
  <w:style w:type="paragraph" w:customStyle="1" w:styleId="SuHHead">
    <w:name w:val="Su_H_Head"/>
    <w:basedOn w:val="SuSubject"/>
    <w:rsid w:val="00CB3CDE"/>
    <w:pPr>
      <w:spacing w:after="120"/>
    </w:pPr>
  </w:style>
  <w:style w:type="paragraph" w:customStyle="1" w:styleId="SuKeywords">
    <w:name w:val="Su_Keywords"/>
    <w:basedOn w:val="SuHHead"/>
    <w:rsid w:val="00CB3CDE"/>
    <w:pPr>
      <w:spacing w:before="120"/>
    </w:pPr>
    <w:rPr>
      <w:b w:val="0"/>
      <w:i/>
    </w:rPr>
  </w:style>
  <w:style w:type="paragraph" w:customStyle="1" w:styleId="SuPara">
    <w:name w:val="Su_Para"/>
    <w:basedOn w:val="SuKeywords"/>
    <w:rsid w:val="00CB3CDE"/>
    <w:pPr>
      <w:spacing w:before="0" w:after="0"/>
    </w:pPr>
    <w:rPr>
      <w:i w:val="0"/>
    </w:rPr>
  </w:style>
  <w:style w:type="paragraph" w:styleId="Sous-titre">
    <w:name w:val="Subtitle"/>
    <w:basedOn w:val="Normal"/>
    <w:next w:val="Normal"/>
    <w:link w:val="Sous-titreCar"/>
    <w:uiPriority w:val="99"/>
    <w:semiHidden/>
    <w:qFormat/>
    <w:rsid w:val="007F47C8"/>
    <w:pPr>
      <w:suppressAutoHyphens w:val="0"/>
      <w:spacing w:after="600"/>
      <w:jc w:val="both"/>
    </w:pPr>
    <w:rPr>
      <w:i/>
      <w:iCs/>
      <w:spacing w:val="13"/>
      <w:szCs w:val="24"/>
      <w:lang w:eastAsia="en-GB" w:bidi="en-US"/>
    </w:rPr>
  </w:style>
  <w:style w:type="character" w:customStyle="1" w:styleId="Sous-titreCar">
    <w:name w:val="Sous-titre Car"/>
    <w:link w:val="Sous-titre"/>
    <w:uiPriority w:val="99"/>
    <w:rsid w:val="007F47C8"/>
    <w:rPr>
      <w:rFonts w:ascii="Times New Roman" w:eastAsia="Times New Roman" w:hAnsi="Times New Roman" w:cs="Times New Roman"/>
      <w:i/>
      <w:iCs/>
      <w:spacing w:val="13"/>
      <w:sz w:val="24"/>
      <w:szCs w:val="24"/>
      <w:lang w:bidi="en-US"/>
    </w:rPr>
  </w:style>
  <w:style w:type="table" w:styleId="Effets3D1">
    <w:name w:val="Table 3D effects 1"/>
    <w:basedOn w:val="TableauNormal"/>
    <w:semiHidden/>
    <w:rsid w:val="00CB3CDE"/>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CB3CDE"/>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CB3CDE"/>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CB3CDE"/>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CB3CDE"/>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CB3CDE"/>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CB3CDE"/>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CB3CDE"/>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CB3CDE"/>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CB3CDE"/>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CB3CDE"/>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CB3CDE"/>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CB3CDE"/>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CB3CDE"/>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CB3CDE"/>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CB3CDE"/>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CB3CDE"/>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1">
    <w:name w:val="Table Grid 1"/>
    <w:basedOn w:val="TableauNormal"/>
    <w:semiHidden/>
    <w:rsid w:val="00CB3CDE"/>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CB3CDE"/>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CB3CDE"/>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CB3CDE"/>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CB3CDE"/>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CB3CDE"/>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CB3CDE"/>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CB3CDE"/>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eencolonnes1">
    <w:name w:val="Table List 1"/>
    <w:basedOn w:val="TableauNormal"/>
    <w:semiHidden/>
    <w:rsid w:val="00CB3CDE"/>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2">
    <w:name w:val="Table List 2"/>
    <w:basedOn w:val="TableauNormal"/>
    <w:semiHidden/>
    <w:rsid w:val="00CB3CDE"/>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3">
    <w:name w:val="Table List 3"/>
    <w:basedOn w:val="TableauNormal"/>
    <w:semiHidden/>
    <w:rsid w:val="00CB3CDE"/>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eencolonnes4">
    <w:name w:val="Table List 4"/>
    <w:basedOn w:val="TableauNormal"/>
    <w:semiHidden/>
    <w:rsid w:val="00CB3CDE"/>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eencolonnes5">
    <w:name w:val="Table List 5"/>
    <w:basedOn w:val="TableauNormal"/>
    <w:semiHidden/>
    <w:rsid w:val="00CB3CDE"/>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eencolonnes6">
    <w:name w:val="Table List 6"/>
    <w:basedOn w:val="TableauNormal"/>
    <w:semiHidden/>
    <w:rsid w:val="00CB3CDE"/>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eencolonnes7">
    <w:name w:val="Table List 7"/>
    <w:basedOn w:val="TableauNormal"/>
    <w:semiHidden/>
    <w:rsid w:val="00CB3CDE"/>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eencolonnes8">
    <w:name w:val="Table List 8"/>
    <w:basedOn w:val="TableauNormal"/>
    <w:semiHidden/>
    <w:rsid w:val="00CB3CDE"/>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autorits">
    <w:name w:val="table of authorities"/>
    <w:basedOn w:val="Normal"/>
    <w:next w:val="Normal"/>
    <w:semiHidden/>
    <w:rsid w:val="00CB3CDE"/>
    <w:pPr>
      <w:ind w:left="240" w:hanging="240"/>
    </w:pPr>
  </w:style>
  <w:style w:type="paragraph" w:styleId="Tabledesillustrations">
    <w:name w:val="table of figures"/>
    <w:basedOn w:val="Normal"/>
    <w:next w:val="Normal"/>
    <w:semiHidden/>
    <w:rsid w:val="00CB3CDE"/>
  </w:style>
  <w:style w:type="table" w:styleId="Professionnel">
    <w:name w:val="Table Professional"/>
    <w:basedOn w:val="TableauNormal"/>
    <w:semiHidden/>
    <w:rsid w:val="00CB3CDE"/>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CB3CDE"/>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CB3CDE"/>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CB3CDE"/>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CB3CDE"/>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CB3CDE"/>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CB3CD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CB3CDE"/>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CB3CDE"/>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CB3CDE"/>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99"/>
    <w:semiHidden/>
    <w:qFormat/>
    <w:rsid w:val="007F47C8"/>
    <w:pPr>
      <w:pBdr>
        <w:bottom w:val="single" w:sz="4" w:space="1" w:color="auto"/>
      </w:pBdr>
      <w:suppressAutoHyphens w:val="0"/>
      <w:contextualSpacing/>
      <w:jc w:val="both"/>
    </w:pPr>
    <w:rPr>
      <w:spacing w:val="5"/>
      <w:sz w:val="52"/>
      <w:szCs w:val="52"/>
      <w:lang w:eastAsia="en-GB" w:bidi="en-US"/>
    </w:rPr>
  </w:style>
  <w:style w:type="character" w:customStyle="1" w:styleId="TitreCar">
    <w:name w:val="Titre Car"/>
    <w:link w:val="Titre"/>
    <w:uiPriority w:val="99"/>
    <w:rsid w:val="007F47C8"/>
    <w:rPr>
      <w:rFonts w:ascii="Times New Roman" w:eastAsia="Times New Roman" w:hAnsi="Times New Roman" w:cs="Times New Roman"/>
      <w:spacing w:val="5"/>
      <w:sz w:val="52"/>
      <w:szCs w:val="52"/>
      <w:lang w:bidi="en-US"/>
    </w:rPr>
  </w:style>
  <w:style w:type="paragraph" w:styleId="Titredetablederfrences">
    <w:name w:val="toa heading"/>
    <w:basedOn w:val="Normal"/>
    <w:next w:val="Normal"/>
    <w:semiHidden/>
    <w:rsid w:val="00CB3CDE"/>
    <w:pPr>
      <w:spacing w:before="120"/>
    </w:pPr>
    <w:rPr>
      <w:rFonts w:ascii="Arial" w:hAnsi="Arial" w:cs="Arial"/>
      <w:b/>
      <w:bCs/>
      <w:szCs w:val="24"/>
    </w:rPr>
  </w:style>
  <w:style w:type="paragraph" w:styleId="TM1">
    <w:name w:val="toc 1"/>
    <w:basedOn w:val="Normal"/>
    <w:next w:val="Normal"/>
    <w:autoRedefine/>
    <w:semiHidden/>
    <w:rsid w:val="00CB3CDE"/>
  </w:style>
  <w:style w:type="paragraph" w:styleId="TM2">
    <w:name w:val="toc 2"/>
    <w:basedOn w:val="Normal"/>
    <w:next w:val="Normal"/>
    <w:autoRedefine/>
    <w:semiHidden/>
    <w:rsid w:val="00CB3CDE"/>
    <w:pPr>
      <w:ind w:left="240"/>
    </w:pPr>
  </w:style>
  <w:style w:type="paragraph" w:styleId="TM3">
    <w:name w:val="toc 3"/>
    <w:basedOn w:val="Normal"/>
    <w:next w:val="Normal"/>
    <w:autoRedefine/>
    <w:semiHidden/>
    <w:rsid w:val="00CB3CDE"/>
    <w:pPr>
      <w:ind w:left="480"/>
    </w:pPr>
  </w:style>
  <w:style w:type="paragraph" w:styleId="TM4">
    <w:name w:val="toc 4"/>
    <w:basedOn w:val="Normal"/>
    <w:next w:val="Normal"/>
    <w:autoRedefine/>
    <w:semiHidden/>
    <w:rsid w:val="00CB3CDE"/>
    <w:pPr>
      <w:ind w:left="720"/>
    </w:pPr>
  </w:style>
  <w:style w:type="paragraph" w:styleId="TM5">
    <w:name w:val="toc 5"/>
    <w:basedOn w:val="Normal"/>
    <w:next w:val="Normal"/>
    <w:autoRedefine/>
    <w:semiHidden/>
    <w:rsid w:val="00CB3CDE"/>
    <w:pPr>
      <w:ind w:left="960"/>
    </w:pPr>
  </w:style>
  <w:style w:type="paragraph" w:styleId="TM6">
    <w:name w:val="toc 6"/>
    <w:basedOn w:val="Normal"/>
    <w:next w:val="Normal"/>
    <w:autoRedefine/>
    <w:semiHidden/>
    <w:rsid w:val="00CB3CDE"/>
    <w:pPr>
      <w:ind w:left="1200"/>
    </w:pPr>
  </w:style>
  <w:style w:type="paragraph" w:styleId="TM7">
    <w:name w:val="toc 7"/>
    <w:basedOn w:val="Normal"/>
    <w:next w:val="Normal"/>
    <w:autoRedefine/>
    <w:semiHidden/>
    <w:rsid w:val="00CB3CDE"/>
    <w:pPr>
      <w:ind w:left="1440"/>
    </w:pPr>
  </w:style>
  <w:style w:type="paragraph" w:styleId="TM8">
    <w:name w:val="toc 8"/>
    <w:basedOn w:val="Normal"/>
    <w:next w:val="Normal"/>
    <w:autoRedefine/>
    <w:semiHidden/>
    <w:rsid w:val="00CB3CDE"/>
    <w:pPr>
      <w:ind w:left="1680"/>
    </w:pPr>
  </w:style>
  <w:style w:type="paragraph" w:styleId="TM9">
    <w:name w:val="toc 9"/>
    <w:basedOn w:val="Normal"/>
    <w:next w:val="Normal"/>
    <w:autoRedefine/>
    <w:semiHidden/>
    <w:rsid w:val="00CB3CDE"/>
    <w:pPr>
      <w:ind w:left="1920"/>
    </w:pPr>
  </w:style>
  <w:style w:type="paragraph" w:customStyle="1" w:styleId="JuHAA">
    <w:name w:val="Ju_H_AA"/>
    <w:basedOn w:val="ECHRHeading1"/>
    <w:next w:val="JuPara"/>
    <w:rsid w:val="00570D09"/>
    <w:pPr>
      <w:tabs>
        <w:tab w:val="clear" w:pos="357"/>
        <w:tab w:val="left" w:pos="584"/>
      </w:tabs>
      <w:suppressAutoHyphens/>
      <w:ind w:left="584" w:hanging="352"/>
      <w:outlineLvl w:val="9"/>
    </w:pPr>
    <w:rPr>
      <w:b/>
    </w:rPr>
  </w:style>
  <w:style w:type="character" w:customStyle="1" w:styleId="s6b621b36">
    <w:name w:val="s6b621b36"/>
    <w:rsid w:val="005F4E83"/>
  </w:style>
  <w:style w:type="character" w:customStyle="1" w:styleId="JUNAMES0">
    <w:name w:val="JU_NAMES"/>
    <w:uiPriority w:val="17"/>
    <w:qFormat/>
    <w:rsid w:val="007F47C8"/>
    <w:rPr>
      <w:caps w:val="0"/>
      <w:smallCaps/>
    </w:rPr>
  </w:style>
  <w:style w:type="paragraph" w:customStyle="1" w:styleId="ECHRHeading5">
    <w:name w:val="ECHR_Heading_5"/>
    <w:aliases w:val="Ju_H_i"/>
    <w:basedOn w:val="Titre5"/>
    <w:next w:val="JuPara"/>
    <w:uiPriority w:val="23"/>
    <w:qFormat/>
    <w:rsid w:val="007F47C8"/>
    <w:pPr>
      <w:keepNext/>
      <w:keepLines/>
      <w:tabs>
        <w:tab w:val="left" w:pos="1191"/>
      </w:tabs>
      <w:spacing w:before="240" w:after="120"/>
      <w:ind w:left="1190" w:hanging="357"/>
    </w:pPr>
    <w:rPr>
      <w:b w:val="0"/>
      <w:i/>
      <w:color w:val="auto"/>
      <w:sz w:val="20"/>
    </w:rPr>
  </w:style>
  <w:style w:type="paragraph" w:customStyle="1" w:styleId="OpiH10">
    <w:name w:val="Opi_H_1"/>
    <w:basedOn w:val="ECHRHeading2"/>
    <w:uiPriority w:val="42"/>
    <w:qFormat/>
    <w:rsid w:val="007F47C8"/>
    <w:pPr>
      <w:ind w:left="635" w:hanging="357"/>
      <w:outlineLvl w:val="2"/>
    </w:pPr>
  </w:style>
  <w:style w:type="paragraph" w:customStyle="1" w:styleId="DummyStyle">
    <w:name w:val="Dummy_Style"/>
    <w:basedOn w:val="Normal"/>
    <w:semiHidden/>
    <w:qFormat/>
    <w:rsid w:val="007F47C8"/>
    <w:pPr>
      <w:suppressAutoHyphens w:val="0"/>
      <w:jc w:val="both"/>
    </w:pPr>
    <w:rPr>
      <w:color w:val="00B050"/>
      <w:lang w:eastAsia="en-GB"/>
    </w:rPr>
  </w:style>
  <w:style w:type="character" w:customStyle="1" w:styleId="Titre5Car">
    <w:name w:val="Titre 5 Car"/>
    <w:link w:val="Titre5"/>
    <w:uiPriority w:val="99"/>
    <w:rsid w:val="007F47C8"/>
    <w:rPr>
      <w:rFonts w:ascii="Times New Roman" w:eastAsia="Times New Roman" w:hAnsi="Times New Roman" w:cs="Times New Roman"/>
      <w:b/>
      <w:bCs/>
      <w:color w:val="808080"/>
    </w:rPr>
  </w:style>
  <w:style w:type="character" w:customStyle="1" w:styleId="Titre7Car">
    <w:name w:val="Titre 7 Car"/>
    <w:link w:val="Titre7"/>
    <w:uiPriority w:val="99"/>
    <w:rsid w:val="007F47C8"/>
    <w:rPr>
      <w:rFonts w:ascii="Times New Roman" w:eastAsia="Times New Roman" w:hAnsi="Times New Roman" w:cs="Times New Roman"/>
      <w:i/>
      <w:iCs/>
      <w:lang w:bidi="en-US"/>
    </w:rPr>
  </w:style>
  <w:style w:type="character" w:customStyle="1" w:styleId="Titre8Car">
    <w:name w:val="Titre 8 Car"/>
    <w:link w:val="Titre8"/>
    <w:uiPriority w:val="99"/>
    <w:rsid w:val="007F47C8"/>
    <w:rPr>
      <w:rFonts w:ascii="Times New Roman" w:eastAsia="Times New Roman" w:hAnsi="Times New Roman" w:cs="Times New Roman"/>
      <w:sz w:val="20"/>
      <w:szCs w:val="20"/>
      <w:lang w:bidi="en-US"/>
    </w:rPr>
  </w:style>
  <w:style w:type="character" w:customStyle="1" w:styleId="Titre9Car">
    <w:name w:val="Titre 9 Car"/>
    <w:link w:val="Titre9"/>
    <w:uiPriority w:val="99"/>
    <w:rsid w:val="007F47C8"/>
    <w:rPr>
      <w:rFonts w:ascii="Times New Roman" w:eastAsia="Times New Roman" w:hAnsi="Times New Roman" w:cs="Times New Roman"/>
      <w:i/>
      <w:iCs/>
      <w:spacing w:val="5"/>
      <w:sz w:val="20"/>
      <w:szCs w:val="20"/>
      <w:lang w:bidi="en-US"/>
    </w:rPr>
  </w:style>
  <w:style w:type="paragraph" w:styleId="Sansinterligne">
    <w:name w:val="No Spacing"/>
    <w:basedOn w:val="Normal"/>
    <w:link w:val="SansinterligneCar"/>
    <w:semiHidden/>
    <w:qFormat/>
    <w:rsid w:val="007F47C8"/>
    <w:pPr>
      <w:suppressAutoHyphens w:val="0"/>
      <w:jc w:val="both"/>
    </w:pPr>
    <w:rPr>
      <w:sz w:val="22"/>
      <w:lang w:eastAsia="en-GB"/>
    </w:rPr>
  </w:style>
  <w:style w:type="character" w:customStyle="1" w:styleId="SansinterligneCar">
    <w:name w:val="Sans interligne Car"/>
    <w:link w:val="Sansinterligne"/>
    <w:rsid w:val="007F47C8"/>
    <w:rPr>
      <w:rFonts w:eastAsia="Times New Roman"/>
    </w:rPr>
  </w:style>
  <w:style w:type="paragraph" w:styleId="Paragraphedeliste">
    <w:name w:val="List Paragraph"/>
    <w:basedOn w:val="Normal"/>
    <w:uiPriority w:val="99"/>
    <w:semiHidden/>
    <w:qFormat/>
    <w:rsid w:val="007F47C8"/>
    <w:pPr>
      <w:suppressAutoHyphens w:val="0"/>
      <w:ind w:left="720"/>
      <w:contextualSpacing/>
      <w:jc w:val="both"/>
    </w:pPr>
    <w:rPr>
      <w:lang w:eastAsia="en-GB"/>
    </w:rPr>
  </w:style>
  <w:style w:type="paragraph" w:styleId="Citation">
    <w:name w:val="Quote"/>
    <w:basedOn w:val="Normal"/>
    <w:next w:val="Normal"/>
    <w:link w:val="CitationCar"/>
    <w:uiPriority w:val="99"/>
    <w:semiHidden/>
    <w:qFormat/>
    <w:rsid w:val="007F47C8"/>
    <w:pPr>
      <w:suppressAutoHyphens w:val="0"/>
      <w:spacing w:before="200"/>
      <w:ind w:left="360" w:right="360"/>
      <w:jc w:val="both"/>
    </w:pPr>
    <w:rPr>
      <w:i/>
      <w:iCs/>
      <w:sz w:val="22"/>
      <w:lang w:eastAsia="en-GB" w:bidi="en-US"/>
    </w:rPr>
  </w:style>
  <w:style w:type="character" w:customStyle="1" w:styleId="CitationCar">
    <w:name w:val="Citation Car"/>
    <w:link w:val="Citation"/>
    <w:uiPriority w:val="99"/>
    <w:rsid w:val="007F47C8"/>
    <w:rPr>
      <w:rFonts w:eastAsia="Times New Roman"/>
      <w:i/>
      <w:iCs/>
      <w:lang w:bidi="en-US"/>
    </w:rPr>
  </w:style>
  <w:style w:type="paragraph" w:styleId="Citationintense">
    <w:name w:val="Intense Quote"/>
    <w:basedOn w:val="Normal"/>
    <w:next w:val="Normal"/>
    <w:link w:val="CitationintenseCar"/>
    <w:uiPriority w:val="99"/>
    <w:semiHidden/>
    <w:qFormat/>
    <w:rsid w:val="007F47C8"/>
    <w:pPr>
      <w:pBdr>
        <w:bottom w:val="single" w:sz="4" w:space="1" w:color="auto"/>
      </w:pBdr>
      <w:suppressAutoHyphens w:val="0"/>
      <w:spacing w:before="200" w:after="280"/>
      <w:ind w:left="1008" w:right="1152"/>
      <w:jc w:val="both"/>
    </w:pPr>
    <w:rPr>
      <w:b/>
      <w:bCs/>
      <w:i/>
      <w:iCs/>
      <w:sz w:val="22"/>
      <w:lang w:eastAsia="en-GB" w:bidi="en-US"/>
    </w:rPr>
  </w:style>
  <w:style w:type="character" w:customStyle="1" w:styleId="CitationintenseCar">
    <w:name w:val="Citation intense Car"/>
    <w:link w:val="Citationintense"/>
    <w:uiPriority w:val="99"/>
    <w:rsid w:val="007F47C8"/>
    <w:rPr>
      <w:rFonts w:eastAsia="Times New Roman"/>
      <w:b/>
      <w:bCs/>
      <w:i/>
      <w:iCs/>
      <w:lang w:bidi="en-US"/>
    </w:rPr>
  </w:style>
  <w:style w:type="character" w:styleId="Accentuationdiscrte">
    <w:name w:val="Subtle Emphasis"/>
    <w:uiPriority w:val="99"/>
    <w:semiHidden/>
    <w:qFormat/>
    <w:rsid w:val="007F47C8"/>
    <w:rPr>
      <w:i/>
      <w:iCs/>
    </w:rPr>
  </w:style>
  <w:style w:type="character" w:styleId="Forteaccentuation">
    <w:name w:val="Intense Emphasis"/>
    <w:uiPriority w:val="99"/>
    <w:semiHidden/>
    <w:qFormat/>
    <w:rsid w:val="007F47C8"/>
    <w:rPr>
      <w:b/>
      <w:bCs/>
    </w:rPr>
  </w:style>
  <w:style w:type="character" w:styleId="Rfrenceple">
    <w:name w:val="Subtle Reference"/>
    <w:uiPriority w:val="99"/>
    <w:semiHidden/>
    <w:qFormat/>
    <w:rsid w:val="007F47C8"/>
    <w:rPr>
      <w:smallCaps/>
    </w:rPr>
  </w:style>
  <w:style w:type="character" w:styleId="Rfrenceintense">
    <w:name w:val="Intense Reference"/>
    <w:uiPriority w:val="99"/>
    <w:semiHidden/>
    <w:qFormat/>
    <w:rsid w:val="007F47C8"/>
    <w:rPr>
      <w:smallCaps/>
      <w:spacing w:val="5"/>
      <w:u w:val="single"/>
    </w:rPr>
  </w:style>
  <w:style w:type="character" w:styleId="Titredulivre">
    <w:name w:val="Book Title"/>
    <w:uiPriority w:val="99"/>
    <w:semiHidden/>
    <w:qFormat/>
    <w:rsid w:val="007F47C8"/>
    <w:rPr>
      <w:i/>
      <w:iCs/>
      <w:smallCaps/>
      <w:spacing w:val="5"/>
    </w:rPr>
  </w:style>
  <w:style w:type="paragraph" w:styleId="En-ttedetabledesmatires">
    <w:name w:val="TOC Heading"/>
    <w:basedOn w:val="Titre1"/>
    <w:next w:val="Normal"/>
    <w:uiPriority w:val="99"/>
    <w:semiHidden/>
    <w:qFormat/>
    <w:rsid w:val="007F47C8"/>
    <w:pPr>
      <w:keepNext w:val="0"/>
      <w:numPr>
        <w:numId w:val="0"/>
      </w:numPr>
      <w:suppressAutoHyphens w:val="0"/>
      <w:spacing w:before="480" w:after="0"/>
      <w:contextualSpacing/>
      <w:jc w:val="both"/>
      <w:outlineLvl w:val="9"/>
    </w:pPr>
    <w:rPr>
      <w:bCs/>
      <w:color w:val="474747"/>
      <w:szCs w:val="28"/>
      <w:lang w:eastAsia="en-GB"/>
    </w:rPr>
  </w:style>
  <w:style w:type="paragraph" w:styleId="Bibliographie">
    <w:name w:val="Bibliography"/>
    <w:basedOn w:val="Normal"/>
    <w:next w:val="Normal"/>
    <w:uiPriority w:val="37"/>
    <w:semiHidden/>
    <w:unhideWhenUsed/>
    <w:rsid w:val="007F47C8"/>
  </w:style>
  <w:style w:type="table" w:customStyle="1" w:styleId="ColorfulGrid1">
    <w:name w:val="Colorful Grid1"/>
    <w:basedOn w:val="TableauNormal"/>
    <w:uiPriority w:val="73"/>
    <w:semiHidden/>
    <w:rsid w:val="007F47C8"/>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semiHidden/>
    <w:rsid w:val="007F47C8"/>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Grillecouleur-Accent2">
    <w:name w:val="Colorful Grid Accent 2"/>
    <w:basedOn w:val="TableauNormal"/>
    <w:uiPriority w:val="73"/>
    <w:semiHidden/>
    <w:rsid w:val="007F47C8"/>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Grillecouleur-Accent3">
    <w:name w:val="Colorful Grid Accent 3"/>
    <w:basedOn w:val="TableauNormal"/>
    <w:uiPriority w:val="73"/>
    <w:semiHidden/>
    <w:rsid w:val="007F47C8"/>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Grillecouleur-Accent4">
    <w:name w:val="Colorful Grid Accent 4"/>
    <w:basedOn w:val="TableauNormal"/>
    <w:uiPriority w:val="73"/>
    <w:semiHidden/>
    <w:rsid w:val="007F47C8"/>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Grillecouleur-Accent5">
    <w:name w:val="Colorful Grid Accent 5"/>
    <w:basedOn w:val="TableauNormal"/>
    <w:uiPriority w:val="73"/>
    <w:semiHidden/>
    <w:rsid w:val="007F47C8"/>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Grillecouleur-Accent6">
    <w:name w:val="Colorful Grid Accent 6"/>
    <w:basedOn w:val="TableauNormal"/>
    <w:uiPriority w:val="73"/>
    <w:semiHidden/>
    <w:rsid w:val="007F47C8"/>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1">
    <w:name w:val="Colorful List1"/>
    <w:basedOn w:val="TableauNormal"/>
    <w:uiPriority w:val="72"/>
    <w:semiHidden/>
    <w:rsid w:val="007F47C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semiHidden/>
    <w:rsid w:val="007F47C8"/>
    <w:rPr>
      <w:color w:val="00000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Listecouleur-Accent2">
    <w:name w:val="Colorful List Accent 2"/>
    <w:basedOn w:val="TableauNormal"/>
    <w:uiPriority w:val="72"/>
    <w:semiHidden/>
    <w:rsid w:val="007F47C8"/>
    <w:rPr>
      <w:color w:val="00000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Listecouleur-Accent3">
    <w:name w:val="Colorful List Accent 3"/>
    <w:basedOn w:val="TableauNormal"/>
    <w:uiPriority w:val="72"/>
    <w:semiHidden/>
    <w:rsid w:val="007F47C8"/>
    <w:rPr>
      <w:color w:val="00000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Listecouleur-Accent4">
    <w:name w:val="Colorful List Accent 4"/>
    <w:basedOn w:val="TableauNormal"/>
    <w:uiPriority w:val="72"/>
    <w:semiHidden/>
    <w:rsid w:val="007F47C8"/>
    <w:rPr>
      <w:color w:val="00000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Listecouleur-Accent5">
    <w:name w:val="Colorful List Accent 5"/>
    <w:basedOn w:val="TableauNormal"/>
    <w:uiPriority w:val="72"/>
    <w:semiHidden/>
    <w:rsid w:val="007F47C8"/>
    <w:rPr>
      <w:color w:val="00000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Listecouleur-Accent6">
    <w:name w:val="Colorful List Accent 6"/>
    <w:basedOn w:val="TableauNormal"/>
    <w:uiPriority w:val="72"/>
    <w:semiHidden/>
    <w:rsid w:val="007F47C8"/>
    <w:rPr>
      <w:color w:val="00000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1">
    <w:name w:val="Colorful Shading1"/>
    <w:basedOn w:val="TableauNormal"/>
    <w:uiPriority w:val="71"/>
    <w:semiHidden/>
    <w:rsid w:val="007F47C8"/>
    <w:rPr>
      <w:color w:val="00000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semiHidden/>
    <w:rsid w:val="007F47C8"/>
    <w:rPr>
      <w:color w:val="00000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semiHidden/>
    <w:rsid w:val="007F47C8"/>
    <w:rPr>
      <w:color w:val="00000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semiHidden/>
    <w:rsid w:val="007F47C8"/>
    <w:rPr>
      <w:color w:val="00000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Tramecouleur-Accent4">
    <w:name w:val="Colorful Shading Accent 4"/>
    <w:basedOn w:val="TableauNormal"/>
    <w:uiPriority w:val="71"/>
    <w:semiHidden/>
    <w:rsid w:val="007F47C8"/>
    <w:rPr>
      <w:color w:val="00000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semiHidden/>
    <w:rsid w:val="007F47C8"/>
    <w:rPr>
      <w:color w:val="00000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semiHidden/>
    <w:rsid w:val="007F47C8"/>
    <w:rPr>
      <w:color w:val="00000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1">
    <w:name w:val="Dark List1"/>
    <w:basedOn w:val="TableauNormal"/>
    <w:uiPriority w:val="70"/>
    <w:semiHidden/>
    <w:rsid w:val="007F47C8"/>
    <w:rPr>
      <w:color w:val="0072BC"/>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semiHidden/>
    <w:rsid w:val="007F47C8"/>
    <w:rPr>
      <w:color w:val="0072BC"/>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Listefonce-Accent2">
    <w:name w:val="Dark List Accent 2"/>
    <w:basedOn w:val="TableauNormal"/>
    <w:uiPriority w:val="70"/>
    <w:semiHidden/>
    <w:rsid w:val="007F47C8"/>
    <w:rPr>
      <w:color w:val="0072BC"/>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Listefonce-Accent3">
    <w:name w:val="Dark List Accent 3"/>
    <w:basedOn w:val="TableauNormal"/>
    <w:uiPriority w:val="70"/>
    <w:semiHidden/>
    <w:rsid w:val="007F47C8"/>
    <w:rPr>
      <w:color w:val="0072BC"/>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Listefonce-Accent4">
    <w:name w:val="Dark List Accent 4"/>
    <w:basedOn w:val="TableauNormal"/>
    <w:uiPriority w:val="70"/>
    <w:semiHidden/>
    <w:rsid w:val="007F47C8"/>
    <w:rPr>
      <w:color w:val="0072BC"/>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Listefonce-Accent5">
    <w:name w:val="Dark List Accent 5"/>
    <w:basedOn w:val="TableauNormal"/>
    <w:uiPriority w:val="70"/>
    <w:semiHidden/>
    <w:rsid w:val="007F47C8"/>
    <w:rPr>
      <w:color w:val="0072BC"/>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Listefonce-Accent6">
    <w:name w:val="Dark List Accent 6"/>
    <w:basedOn w:val="TableauNormal"/>
    <w:uiPriority w:val="70"/>
    <w:semiHidden/>
    <w:rsid w:val="007F47C8"/>
    <w:rPr>
      <w:color w:val="0072BC"/>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customStyle="1" w:styleId="LightGrid1">
    <w:name w:val="Light Grid1"/>
    <w:basedOn w:val="TableauNormal"/>
    <w:uiPriority w:val="62"/>
    <w:semiHidden/>
    <w:rsid w:val="007F47C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auNormal"/>
    <w:uiPriority w:val="62"/>
    <w:semiHidden/>
    <w:rsid w:val="007F47C8"/>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Grilleclaire-Accent2">
    <w:name w:val="Light Grid Accent 2"/>
    <w:basedOn w:val="TableauNormal"/>
    <w:uiPriority w:val="62"/>
    <w:semiHidden/>
    <w:rsid w:val="007F47C8"/>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Grilleclaire-Accent3">
    <w:name w:val="Light Grid Accent 3"/>
    <w:basedOn w:val="TableauNormal"/>
    <w:uiPriority w:val="62"/>
    <w:semiHidden/>
    <w:rsid w:val="007F47C8"/>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Grilleclaire-Accent4">
    <w:name w:val="Light Grid Accent 4"/>
    <w:basedOn w:val="TableauNormal"/>
    <w:uiPriority w:val="62"/>
    <w:semiHidden/>
    <w:rsid w:val="007F47C8"/>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Grilleclaire-Accent5">
    <w:name w:val="Light Grid Accent 5"/>
    <w:basedOn w:val="TableauNormal"/>
    <w:uiPriority w:val="62"/>
    <w:semiHidden/>
    <w:rsid w:val="007F47C8"/>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Grilleclaire-Accent6">
    <w:name w:val="Light Grid Accent 6"/>
    <w:basedOn w:val="TableauNormal"/>
    <w:uiPriority w:val="62"/>
    <w:semiHidden/>
    <w:rsid w:val="007F47C8"/>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1">
    <w:name w:val="Light List1"/>
    <w:basedOn w:val="TableauNormal"/>
    <w:uiPriority w:val="61"/>
    <w:semiHidden/>
    <w:rsid w:val="007F47C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uiPriority w:val="61"/>
    <w:semiHidden/>
    <w:rsid w:val="007F47C8"/>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steclaire-Accent2">
    <w:name w:val="Light List Accent 2"/>
    <w:basedOn w:val="TableauNormal"/>
    <w:uiPriority w:val="61"/>
    <w:semiHidden/>
    <w:rsid w:val="007F47C8"/>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steclaire-Accent3">
    <w:name w:val="Light List Accent 3"/>
    <w:basedOn w:val="TableauNormal"/>
    <w:uiPriority w:val="61"/>
    <w:semiHidden/>
    <w:rsid w:val="007F47C8"/>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steclaire-Accent4">
    <w:name w:val="Light List Accent 4"/>
    <w:basedOn w:val="TableauNormal"/>
    <w:uiPriority w:val="61"/>
    <w:semiHidden/>
    <w:rsid w:val="007F47C8"/>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steclaire-Accent5">
    <w:name w:val="Light List Accent 5"/>
    <w:basedOn w:val="TableauNormal"/>
    <w:uiPriority w:val="61"/>
    <w:semiHidden/>
    <w:rsid w:val="007F47C8"/>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steclaire-Accent6">
    <w:name w:val="Light List Accent 6"/>
    <w:basedOn w:val="TableauNormal"/>
    <w:uiPriority w:val="61"/>
    <w:semiHidden/>
    <w:rsid w:val="007F47C8"/>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1">
    <w:name w:val="Light Shading1"/>
    <w:basedOn w:val="TableauNormal"/>
    <w:uiPriority w:val="60"/>
    <w:semiHidden/>
    <w:rsid w:val="007F47C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auNormal"/>
    <w:uiPriority w:val="60"/>
    <w:semiHidden/>
    <w:rsid w:val="007F47C8"/>
    <w:rPr>
      <w:color w:val="00548C"/>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Trameclaire-Accent2">
    <w:name w:val="Light Shading Accent 2"/>
    <w:basedOn w:val="TableauNormal"/>
    <w:uiPriority w:val="60"/>
    <w:semiHidden/>
    <w:rsid w:val="007F47C8"/>
    <w:rPr>
      <w:color w:val="8F000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Trameclaire-Accent3">
    <w:name w:val="Light Shading Accent 3"/>
    <w:basedOn w:val="TableauNormal"/>
    <w:uiPriority w:val="60"/>
    <w:semiHidden/>
    <w:rsid w:val="007F47C8"/>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Trameclaire-Accent4">
    <w:name w:val="Light Shading Accent 4"/>
    <w:basedOn w:val="TableauNormal"/>
    <w:uiPriority w:val="60"/>
    <w:semiHidden/>
    <w:rsid w:val="007F47C8"/>
    <w:rPr>
      <w:color w:val="70707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Trameclaire-Accent5">
    <w:name w:val="Light Shading Accent 5"/>
    <w:basedOn w:val="TableauNormal"/>
    <w:uiPriority w:val="60"/>
    <w:semiHidden/>
    <w:rsid w:val="007F47C8"/>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Trameclaire-Accent6">
    <w:name w:val="Light Shading Accent 6"/>
    <w:basedOn w:val="TableauNormal"/>
    <w:uiPriority w:val="60"/>
    <w:semiHidden/>
    <w:rsid w:val="007F47C8"/>
    <w:rPr>
      <w:color w:val="393939"/>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11">
    <w:name w:val="Medium Grid 11"/>
    <w:basedOn w:val="TableauNormal"/>
    <w:uiPriority w:val="67"/>
    <w:semiHidden/>
    <w:rsid w:val="007F47C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semiHidden/>
    <w:rsid w:val="007F47C8"/>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Grillemoyenne1-Accent2">
    <w:name w:val="Medium Grid 1 Accent 2"/>
    <w:basedOn w:val="TableauNormal"/>
    <w:uiPriority w:val="67"/>
    <w:semiHidden/>
    <w:rsid w:val="007F47C8"/>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Grillemoyenne1-Accent3">
    <w:name w:val="Medium Grid 1 Accent 3"/>
    <w:basedOn w:val="TableauNormal"/>
    <w:uiPriority w:val="67"/>
    <w:semiHidden/>
    <w:rsid w:val="007F47C8"/>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Grillemoyenne1-Accent4">
    <w:name w:val="Medium Grid 1 Accent 4"/>
    <w:basedOn w:val="TableauNormal"/>
    <w:uiPriority w:val="67"/>
    <w:semiHidden/>
    <w:rsid w:val="007F47C8"/>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Grillemoyenne1-Accent5">
    <w:name w:val="Medium Grid 1 Accent 5"/>
    <w:basedOn w:val="TableauNormal"/>
    <w:uiPriority w:val="67"/>
    <w:semiHidden/>
    <w:rsid w:val="007F47C8"/>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Grillemoyenne1-Accent6">
    <w:name w:val="Medium Grid 1 Accent 6"/>
    <w:basedOn w:val="TableauNormal"/>
    <w:uiPriority w:val="67"/>
    <w:semiHidden/>
    <w:rsid w:val="007F47C8"/>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1">
    <w:name w:val="Medium Grid 21"/>
    <w:basedOn w:val="TableauNormal"/>
    <w:uiPriority w:val="68"/>
    <w:semiHidden/>
    <w:rsid w:val="007F47C8"/>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Grillemoyenne2-Accent1">
    <w:name w:val="Medium Grid 2 Accent 1"/>
    <w:basedOn w:val="TableauNormal"/>
    <w:uiPriority w:val="68"/>
    <w:semiHidden/>
    <w:rsid w:val="007F47C8"/>
    <w:rPr>
      <w:color w:val="00000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Grillemoyenne2-Accent2">
    <w:name w:val="Medium Grid 2 Accent 2"/>
    <w:basedOn w:val="TableauNormal"/>
    <w:uiPriority w:val="68"/>
    <w:semiHidden/>
    <w:rsid w:val="007F47C8"/>
    <w:rPr>
      <w:color w:val="00000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Grillemoyenne2-Accent3">
    <w:name w:val="Medium Grid 2 Accent 3"/>
    <w:basedOn w:val="TableauNormal"/>
    <w:uiPriority w:val="68"/>
    <w:semiHidden/>
    <w:rsid w:val="007F47C8"/>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Grillemoyenne2-Accent4">
    <w:name w:val="Medium Grid 2 Accent 4"/>
    <w:basedOn w:val="TableauNormal"/>
    <w:uiPriority w:val="68"/>
    <w:semiHidden/>
    <w:rsid w:val="007F47C8"/>
    <w:rPr>
      <w:color w:val="00000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Grillemoyenne2-Accent5">
    <w:name w:val="Medium Grid 2 Accent 5"/>
    <w:basedOn w:val="TableauNormal"/>
    <w:uiPriority w:val="68"/>
    <w:semiHidden/>
    <w:rsid w:val="007F47C8"/>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Grillemoyenne2-Accent6">
    <w:name w:val="Medium Grid 2 Accent 6"/>
    <w:basedOn w:val="TableauNormal"/>
    <w:uiPriority w:val="68"/>
    <w:semiHidden/>
    <w:rsid w:val="007F47C8"/>
    <w:rPr>
      <w:color w:val="00000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1">
    <w:name w:val="Medium Grid 31"/>
    <w:basedOn w:val="TableauNormal"/>
    <w:uiPriority w:val="69"/>
    <w:semiHidden/>
    <w:rsid w:val="007F47C8"/>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Grillemoyenne3-Accent1">
    <w:name w:val="Medium Grid 3 Accent 1"/>
    <w:basedOn w:val="TableauNormal"/>
    <w:uiPriority w:val="69"/>
    <w:semiHidden/>
    <w:rsid w:val="007F47C8"/>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Grillemoyenne3-Accent2">
    <w:name w:val="Medium Grid 3 Accent 2"/>
    <w:basedOn w:val="TableauNormal"/>
    <w:uiPriority w:val="69"/>
    <w:semiHidden/>
    <w:rsid w:val="007F47C8"/>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Grillemoyenne3-Accent3">
    <w:name w:val="Medium Grid 3 Accent 3"/>
    <w:basedOn w:val="TableauNormal"/>
    <w:uiPriority w:val="69"/>
    <w:semiHidden/>
    <w:rsid w:val="007F47C8"/>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Grillemoyenne3-Accent4">
    <w:name w:val="Medium Grid 3 Accent 4"/>
    <w:basedOn w:val="TableauNormal"/>
    <w:uiPriority w:val="69"/>
    <w:semiHidden/>
    <w:rsid w:val="007F47C8"/>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Grillemoyenne3-Accent5">
    <w:name w:val="Medium Grid 3 Accent 5"/>
    <w:basedOn w:val="TableauNormal"/>
    <w:uiPriority w:val="69"/>
    <w:semiHidden/>
    <w:rsid w:val="007F47C8"/>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Grillemoyenne3-Accent6">
    <w:name w:val="Medium Grid 3 Accent 6"/>
    <w:basedOn w:val="TableauNormal"/>
    <w:uiPriority w:val="69"/>
    <w:semiHidden/>
    <w:rsid w:val="007F47C8"/>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1">
    <w:name w:val="Medium List 11"/>
    <w:basedOn w:val="TableauNormal"/>
    <w:uiPriority w:val="65"/>
    <w:semiHidden/>
    <w:rsid w:val="007F47C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auNormal"/>
    <w:uiPriority w:val="65"/>
    <w:semiHidden/>
    <w:rsid w:val="007F47C8"/>
    <w:rPr>
      <w:color w:val="00000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Listemoyenne1-Accent2">
    <w:name w:val="Medium List 1 Accent 2"/>
    <w:basedOn w:val="TableauNormal"/>
    <w:uiPriority w:val="65"/>
    <w:semiHidden/>
    <w:rsid w:val="007F47C8"/>
    <w:rPr>
      <w:color w:val="00000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Listemoyenne1-Accent3">
    <w:name w:val="Medium List 1 Accent 3"/>
    <w:basedOn w:val="TableauNormal"/>
    <w:uiPriority w:val="65"/>
    <w:semiHidden/>
    <w:rsid w:val="007F47C8"/>
    <w:rPr>
      <w:color w:val="00000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Listemoyenne1-Accent4">
    <w:name w:val="Medium List 1 Accent 4"/>
    <w:basedOn w:val="TableauNormal"/>
    <w:uiPriority w:val="65"/>
    <w:semiHidden/>
    <w:rsid w:val="007F47C8"/>
    <w:rPr>
      <w:color w:val="00000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Listemoyenne1-Accent5">
    <w:name w:val="Medium List 1 Accent 5"/>
    <w:basedOn w:val="TableauNormal"/>
    <w:uiPriority w:val="65"/>
    <w:semiHidden/>
    <w:rsid w:val="007F47C8"/>
    <w:rPr>
      <w:color w:val="00000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Listemoyenne1-Accent6">
    <w:name w:val="Medium List 1 Accent 6"/>
    <w:basedOn w:val="TableauNormal"/>
    <w:uiPriority w:val="65"/>
    <w:semiHidden/>
    <w:rsid w:val="007F47C8"/>
    <w:rPr>
      <w:color w:val="00000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1">
    <w:name w:val="Medium List 21"/>
    <w:basedOn w:val="TableauNormal"/>
    <w:uiPriority w:val="66"/>
    <w:semiHidden/>
    <w:rsid w:val="007F47C8"/>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Listemoyenne2-Accent1">
    <w:name w:val="Medium List 2 Accent 1"/>
    <w:basedOn w:val="TableauNormal"/>
    <w:uiPriority w:val="66"/>
    <w:semiHidden/>
    <w:rsid w:val="007F47C8"/>
    <w:rPr>
      <w:color w:val="00000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Listemoyenne2-Accent2">
    <w:name w:val="Medium List 2 Accent 2"/>
    <w:basedOn w:val="TableauNormal"/>
    <w:uiPriority w:val="66"/>
    <w:semiHidden/>
    <w:rsid w:val="007F47C8"/>
    <w:rPr>
      <w:color w:val="00000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Listemoyenne2-Accent3">
    <w:name w:val="Medium List 2 Accent 3"/>
    <w:basedOn w:val="TableauNormal"/>
    <w:uiPriority w:val="66"/>
    <w:semiHidden/>
    <w:rsid w:val="007F47C8"/>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Listemoyenne2-Accent4">
    <w:name w:val="Medium List 2 Accent 4"/>
    <w:basedOn w:val="TableauNormal"/>
    <w:uiPriority w:val="66"/>
    <w:semiHidden/>
    <w:rsid w:val="007F47C8"/>
    <w:rPr>
      <w:color w:val="00000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Listemoyenne2-Accent5">
    <w:name w:val="Medium List 2 Accent 5"/>
    <w:basedOn w:val="TableauNormal"/>
    <w:uiPriority w:val="66"/>
    <w:semiHidden/>
    <w:rsid w:val="007F47C8"/>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Listemoyenne2-Accent6">
    <w:name w:val="Medium List 2 Accent 6"/>
    <w:basedOn w:val="TableauNormal"/>
    <w:uiPriority w:val="66"/>
    <w:semiHidden/>
    <w:rsid w:val="007F47C8"/>
    <w:rPr>
      <w:color w:val="00000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1">
    <w:name w:val="Medium Shading 11"/>
    <w:basedOn w:val="TableauNormal"/>
    <w:uiPriority w:val="63"/>
    <w:semiHidden/>
    <w:rsid w:val="007F47C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auNormal"/>
    <w:uiPriority w:val="63"/>
    <w:semiHidden/>
    <w:rsid w:val="007F47C8"/>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rsid w:val="007F47C8"/>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rsid w:val="007F47C8"/>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rsid w:val="007F47C8"/>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rsid w:val="007F47C8"/>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rsid w:val="007F47C8"/>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1">
    <w:name w:val="Medium Shading 21"/>
    <w:basedOn w:val="TableauNormal"/>
    <w:uiPriority w:val="64"/>
    <w:semiHidden/>
    <w:rsid w:val="007F47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auNormal"/>
    <w:uiPriority w:val="64"/>
    <w:semiHidden/>
    <w:rsid w:val="007F47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semiHidden/>
    <w:rsid w:val="007F47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rsid w:val="007F47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rsid w:val="007F47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rsid w:val="007F47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rsid w:val="007F47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character" w:styleId="Textedelespacerserv">
    <w:name w:val="Placeholder Text"/>
    <w:uiPriority w:val="99"/>
    <w:semiHidden/>
    <w:rsid w:val="007F47C8"/>
    <w:rPr>
      <w:color w:val="808080"/>
    </w:rPr>
  </w:style>
  <w:style w:type="character" w:customStyle="1" w:styleId="wordhighlighted">
    <w:name w:val="wordhighlighted"/>
    <w:basedOn w:val="Policepardfaut"/>
    <w:rsid w:val="005D4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639923569">
      <w:bodyDiv w:val="1"/>
      <w:marLeft w:val="0"/>
      <w:marRight w:val="0"/>
      <w:marTop w:val="0"/>
      <w:marBottom w:val="0"/>
      <w:divBdr>
        <w:top w:val="none" w:sz="0" w:space="0" w:color="auto"/>
        <w:left w:val="none" w:sz="0" w:space="0" w:color="auto"/>
        <w:bottom w:val="none" w:sz="0" w:space="0" w:color="auto"/>
        <w:right w:val="none" w:sz="0" w:space="0" w:color="auto"/>
      </w:divBdr>
      <w:divsChild>
        <w:div w:id="1706976457">
          <w:marLeft w:val="0"/>
          <w:marRight w:val="0"/>
          <w:marTop w:val="0"/>
          <w:marBottom w:val="0"/>
          <w:divBdr>
            <w:top w:val="none" w:sz="0" w:space="0" w:color="auto"/>
            <w:left w:val="none" w:sz="0" w:space="0" w:color="auto"/>
            <w:bottom w:val="none" w:sz="0" w:space="0" w:color="auto"/>
            <w:right w:val="none" w:sz="0" w:space="0" w:color="auto"/>
          </w:divBdr>
          <w:divsChild>
            <w:div w:id="508913123">
              <w:marLeft w:val="0"/>
              <w:marRight w:val="0"/>
              <w:marTop w:val="0"/>
              <w:marBottom w:val="0"/>
              <w:divBdr>
                <w:top w:val="none" w:sz="0" w:space="0" w:color="auto"/>
                <w:left w:val="none" w:sz="0" w:space="0" w:color="auto"/>
                <w:bottom w:val="none" w:sz="0" w:space="0" w:color="auto"/>
                <w:right w:val="none" w:sz="0" w:space="0" w:color="auto"/>
              </w:divBdr>
              <w:divsChild>
                <w:div w:id="1869290308">
                  <w:marLeft w:val="0"/>
                  <w:marRight w:val="0"/>
                  <w:marTop w:val="0"/>
                  <w:marBottom w:val="0"/>
                  <w:divBdr>
                    <w:top w:val="none" w:sz="0" w:space="0" w:color="auto"/>
                    <w:left w:val="none" w:sz="0" w:space="0" w:color="auto"/>
                    <w:bottom w:val="none" w:sz="0" w:space="0" w:color="auto"/>
                    <w:right w:val="none" w:sz="0" w:space="0" w:color="auto"/>
                  </w:divBdr>
                  <w:divsChild>
                    <w:div w:id="1684239254">
                      <w:marLeft w:val="0"/>
                      <w:marRight w:val="0"/>
                      <w:marTop w:val="0"/>
                      <w:marBottom w:val="0"/>
                      <w:divBdr>
                        <w:top w:val="none" w:sz="0" w:space="0" w:color="auto"/>
                        <w:left w:val="none" w:sz="0" w:space="0" w:color="auto"/>
                        <w:bottom w:val="none" w:sz="0" w:space="0" w:color="auto"/>
                        <w:right w:val="none" w:sz="0" w:space="0" w:color="auto"/>
                      </w:divBdr>
                      <w:divsChild>
                        <w:div w:id="1449009410">
                          <w:marLeft w:val="0"/>
                          <w:marRight w:val="0"/>
                          <w:marTop w:val="0"/>
                          <w:marBottom w:val="0"/>
                          <w:divBdr>
                            <w:top w:val="none" w:sz="0" w:space="0" w:color="auto"/>
                            <w:left w:val="none" w:sz="0" w:space="0" w:color="auto"/>
                            <w:bottom w:val="none" w:sz="0" w:space="0" w:color="auto"/>
                            <w:right w:val="none" w:sz="0" w:space="0" w:color="auto"/>
                          </w:divBdr>
                          <w:divsChild>
                            <w:div w:id="2674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366501">
      <w:bodyDiv w:val="1"/>
      <w:marLeft w:val="0"/>
      <w:marRight w:val="0"/>
      <w:marTop w:val="0"/>
      <w:marBottom w:val="0"/>
      <w:divBdr>
        <w:top w:val="none" w:sz="0" w:space="0" w:color="auto"/>
        <w:left w:val="none" w:sz="0" w:space="0" w:color="auto"/>
        <w:bottom w:val="none" w:sz="0" w:space="0" w:color="auto"/>
        <w:right w:val="none" w:sz="0" w:space="0" w:color="auto"/>
      </w:divBdr>
    </w:div>
    <w:div w:id="881862188">
      <w:bodyDiv w:val="1"/>
      <w:marLeft w:val="0"/>
      <w:marRight w:val="0"/>
      <w:marTop w:val="0"/>
      <w:marBottom w:val="0"/>
      <w:divBdr>
        <w:top w:val="none" w:sz="0" w:space="0" w:color="auto"/>
        <w:left w:val="none" w:sz="0" w:space="0" w:color="auto"/>
        <w:bottom w:val="none" w:sz="0" w:space="0" w:color="auto"/>
        <w:right w:val="none" w:sz="0" w:space="0" w:color="auto"/>
      </w:divBdr>
      <w:divsChild>
        <w:div w:id="1812475575">
          <w:marLeft w:val="0"/>
          <w:marRight w:val="0"/>
          <w:marTop w:val="0"/>
          <w:marBottom w:val="0"/>
          <w:divBdr>
            <w:top w:val="none" w:sz="0" w:space="0" w:color="auto"/>
            <w:left w:val="none" w:sz="0" w:space="0" w:color="auto"/>
            <w:bottom w:val="none" w:sz="0" w:space="0" w:color="auto"/>
            <w:right w:val="none" w:sz="0" w:space="0" w:color="auto"/>
          </w:divBdr>
          <w:divsChild>
            <w:div w:id="664863563">
              <w:marLeft w:val="0"/>
              <w:marRight w:val="0"/>
              <w:marTop w:val="0"/>
              <w:marBottom w:val="0"/>
              <w:divBdr>
                <w:top w:val="none" w:sz="0" w:space="0" w:color="auto"/>
                <w:left w:val="none" w:sz="0" w:space="0" w:color="auto"/>
                <w:bottom w:val="none" w:sz="0" w:space="0" w:color="auto"/>
                <w:right w:val="none" w:sz="0" w:space="0" w:color="auto"/>
              </w:divBdr>
              <w:divsChild>
                <w:div w:id="1756825121">
                  <w:marLeft w:val="0"/>
                  <w:marRight w:val="0"/>
                  <w:marTop w:val="0"/>
                  <w:marBottom w:val="0"/>
                  <w:divBdr>
                    <w:top w:val="none" w:sz="0" w:space="0" w:color="auto"/>
                    <w:left w:val="none" w:sz="0" w:space="0" w:color="auto"/>
                    <w:bottom w:val="none" w:sz="0" w:space="0" w:color="auto"/>
                    <w:right w:val="none" w:sz="0" w:space="0" w:color="auto"/>
                  </w:divBdr>
                  <w:divsChild>
                    <w:div w:id="1405297182">
                      <w:marLeft w:val="0"/>
                      <w:marRight w:val="0"/>
                      <w:marTop w:val="0"/>
                      <w:marBottom w:val="0"/>
                      <w:divBdr>
                        <w:top w:val="none" w:sz="0" w:space="0" w:color="auto"/>
                        <w:left w:val="none" w:sz="0" w:space="0" w:color="auto"/>
                        <w:bottom w:val="none" w:sz="0" w:space="0" w:color="auto"/>
                        <w:right w:val="none" w:sz="0" w:space="0" w:color="auto"/>
                      </w:divBdr>
                      <w:divsChild>
                        <w:div w:id="135532440">
                          <w:marLeft w:val="0"/>
                          <w:marRight w:val="0"/>
                          <w:marTop w:val="0"/>
                          <w:marBottom w:val="0"/>
                          <w:divBdr>
                            <w:top w:val="none" w:sz="0" w:space="0" w:color="auto"/>
                            <w:left w:val="none" w:sz="0" w:space="0" w:color="auto"/>
                            <w:bottom w:val="none" w:sz="0" w:space="0" w:color="auto"/>
                            <w:right w:val="none" w:sz="0" w:space="0" w:color="auto"/>
                          </w:divBdr>
                          <w:divsChild>
                            <w:div w:id="19389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6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6743-EBDA-4BF6-B921-7CD526FA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8AF558-51EA-4FCC-89FA-702FE464F1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801C2-3D1E-46D8-83DA-4C61A4719C9E}">
  <ds:schemaRefs>
    <ds:schemaRef ds:uri="http://schemas.microsoft.com/sharepoint/v3/contenttype/forms"/>
  </ds:schemaRefs>
</ds:datastoreItem>
</file>

<file path=customXml/itemProps4.xml><?xml version="1.0" encoding="utf-8"?>
<ds:datastoreItem xmlns:ds="http://schemas.openxmlformats.org/officeDocument/2006/customXml" ds:itemID="{8301ED77-FB0C-604D-BDE9-148E8FFE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26794</Words>
  <Characters>147372</Characters>
  <Application>Microsoft Macintosh Word</Application>
  <DocSecurity>0</DocSecurity>
  <Lines>1228</Lines>
  <Paragraphs>347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173819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2014-11-14T14:11:00Z</cp:lastPrinted>
  <dcterms:created xsi:type="dcterms:W3CDTF">2016-01-17T19:10:00Z</dcterms:created>
  <dcterms:modified xsi:type="dcterms:W3CDTF">2016-01-17T19:10:00Z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